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ACC7B8B" w:rsidR="00093CA9" w:rsidRDefault="00195BEC"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C85515"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E13AB6D" w:rsidR="00093CA9" w:rsidRPr="00092EF7" w:rsidRDefault="0074032D" w:rsidP="0074032D">
            <w:pPr>
              <w:rPr>
                <w:lang w:val="es-ES"/>
              </w:rPr>
            </w:pPr>
            <w:r w:rsidRPr="0074032D">
              <w:rPr>
                <w:lang w:val="en-US"/>
              </w:rPr>
              <w:t xml:space="preserve">Technical Document – Management of Climate Risks and Opportunities for the Insurance Sector. </w:t>
            </w:r>
            <w:r w:rsidRPr="00BD3BFE">
              <w:rPr>
                <w:lang w:val="es-ES"/>
              </w:rPr>
              <w:t>Documento Técnico- Administración de Riesgos y Oportunidades Climáticas para el Sector Asegurador.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988245B" w:rsidR="00093CA9" w:rsidRDefault="00A07A2A" w:rsidP="00093CA9">
            <w:hyperlink r:id="rId17" w:history="1">
              <w:r w:rsidRPr="009E2EB3">
                <w:rPr>
                  <w:rStyle w:val="Hyperlink"/>
                </w:rPr>
                <w:t>Web-archived link</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DF7AAE4" w:rsidR="00093CA9" w:rsidRDefault="0074032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565446"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D4739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238F8E5" w:rsidR="00093CA9" w:rsidRDefault="001348F7"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EB1435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BA7C1A0" w14:textId="77777777" w:rsidR="00311F81" w:rsidRDefault="00311F81" w:rsidP="00311F81">
            <w:pPr>
              <w:jc w:val="both"/>
              <w:rPr>
                <w:lang w:val="en-US"/>
              </w:rPr>
            </w:pPr>
            <w:r w:rsidRPr="00311F81">
              <w:rPr>
                <w:lang w:val="en-US"/>
              </w:rPr>
              <w:t xml:space="preserve">The policy tool described in the document is a set of principles and guidelines issued by the Superintendency of </w:t>
            </w:r>
            <w:r>
              <w:rPr>
                <w:lang w:val="en-US"/>
              </w:rPr>
              <w:t>F</w:t>
            </w:r>
            <w:r w:rsidRPr="00311F81">
              <w:rPr>
                <w:lang w:val="en-US"/>
              </w:rPr>
              <w:t xml:space="preserve">inancial </w:t>
            </w:r>
            <w:r>
              <w:rPr>
                <w:lang w:val="en-US"/>
              </w:rPr>
              <w:t>I</w:t>
            </w:r>
            <w:r w:rsidRPr="00311F81">
              <w:rPr>
                <w:lang w:val="en-US"/>
              </w:rPr>
              <w:t>nstitutions</w:t>
            </w:r>
            <w:r>
              <w:rPr>
                <w:lang w:val="en-US"/>
              </w:rPr>
              <w:t xml:space="preserve"> (“</w:t>
            </w:r>
            <w:r w:rsidRPr="00311F81">
              <w:rPr>
                <w:u w:val="single"/>
                <w:lang w:val="en-US"/>
              </w:rPr>
              <w:t>SFC</w:t>
            </w:r>
            <w:r>
              <w:rPr>
                <w:lang w:val="en-US"/>
              </w:rPr>
              <w:t>”)</w:t>
            </w:r>
            <w:r w:rsidRPr="00311F81">
              <w:rPr>
                <w:lang w:val="en-US"/>
              </w:rPr>
              <w:t xml:space="preserve"> to guide insurance companies in integrating climate-related risks and opportunities into their governance, strategy, and risk management frameworks. </w:t>
            </w:r>
          </w:p>
          <w:p w14:paraId="18257824" w14:textId="3C4E1C7D" w:rsidR="00093CA9" w:rsidRPr="00311F81" w:rsidRDefault="00311F81" w:rsidP="00311F81">
            <w:pPr>
              <w:jc w:val="both"/>
              <w:rPr>
                <w:lang w:val="en-US"/>
              </w:rPr>
            </w:pPr>
            <w:r w:rsidRPr="00311F81">
              <w:rPr>
                <w:lang w:val="en-US"/>
              </w:rPr>
              <w:t>The goal of this tool is to strengthen the resilience of the insurance sector and contribute to the stability of the financial system by ensuring that climate risks—physical, transition, and litigation—are systematically identified, measured, monitored, and disclosed. Its relevance to climate-related disclosure lies in its emphasis on transparent reporting of material climate risks and opportunities, following international frameworks such as the TCFD, and encouraging the use of scenario analysis and specific metrics. Regarding prudential tools, the policy integrates climate risk considerations into the broader prudential supervision framework, promoting the incorporation of these risks into capital planning, risk appetite, and internal controls, thereby supporting the soundness and sustainability of insurance companies in the face of climate change.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B448A13" w:rsidR="00093CA9" w:rsidRDefault="00311F8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89265E4" w:rsidR="00093CA9" w:rsidRPr="00173D7C" w:rsidRDefault="00311F81"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37B762" w14:textId="77777777" w:rsidR="00311F81" w:rsidRDefault="00311F81" w:rsidP="00311F81">
            <w:pPr>
              <w:jc w:val="both"/>
            </w:pPr>
            <w:r>
              <w:t xml:space="preserve">The policy tool is authored and issued by the </w:t>
            </w:r>
            <w:r w:rsidRPr="005C54D2">
              <w:rPr>
                <w:lang w:val="en-US"/>
              </w:rPr>
              <w:t xml:space="preserve">Superintendency of </w:t>
            </w:r>
            <w:r>
              <w:rPr>
                <w:lang w:val="en-US"/>
              </w:rPr>
              <w:t>F</w:t>
            </w:r>
            <w:r w:rsidRPr="005C54D2">
              <w:rPr>
                <w:lang w:val="en-US"/>
              </w:rPr>
              <w:t>inancial institutions</w:t>
            </w:r>
            <w:r>
              <w:rPr>
                <w:lang w:val="en-US"/>
              </w:rPr>
              <w:t xml:space="preserve">, </w:t>
            </w:r>
            <w:r>
              <w:t>which is a technical government agency attached to the Ministry of Finance and Public Credit. The SFC possesses legal personality, as well as administrative and financial autonomy, and its own assets.</w:t>
            </w:r>
          </w:p>
          <w:p w14:paraId="7961F236" w14:textId="69832A80" w:rsidR="00093CA9" w:rsidRDefault="00311F81" w:rsidP="00311F81">
            <w:r>
              <w:t>The SFC acts as the primary supervisory authority for Colombia’s financial system. Its mandate, as established by law, is to exercise inspection, surveillance, and control over individuals and entities engaged in financial, securities, and insurance activities, as well as any other activities involving the management, use, or investment of resources collected from the public. The President of the Republic, in accordance with the law, carries out these supervisory functions through the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DD9AA4C" w:rsidR="00093CA9" w:rsidRPr="006B7B0D" w:rsidRDefault="00BB597F" w:rsidP="00093CA9">
            <w:r w:rsidRPr="005E4C3B">
              <w:t xml:space="preserve">Superintendency of Financial </w:t>
            </w:r>
            <w:r>
              <w:t>I</w:t>
            </w:r>
            <w:r w:rsidRPr="005E4C3B">
              <w:t>nstitutions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F0FE8CF" w:rsidR="00093CA9" w:rsidRPr="006B7B0D" w:rsidRDefault="003862C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06334D4" w:rsidR="00093CA9" w:rsidRDefault="003862C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0EF14C3" w:rsidR="00093CA9" w:rsidRPr="003862C1" w:rsidRDefault="003862C1" w:rsidP="003862C1">
            <w:pPr>
              <w:keepNext/>
              <w:jc w:val="both"/>
              <w:rPr>
                <w:color w:val="000000" w:themeColor="text1"/>
                <w:lang w:val="en-US"/>
              </w:rPr>
            </w:pPr>
            <w:r w:rsidRPr="003862C1">
              <w:rPr>
                <w:color w:val="000000" w:themeColor="text1"/>
                <w:lang w:val="en-US"/>
              </w:rPr>
              <w:t>According to the document, monitoring systems are an integral part of the policy tool for climate risk management in the insurance sector. Section 2.5 ("</w:t>
            </w:r>
            <w:proofErr w:type="spellStart"/>
            <w:r w:rsidRPr="003862C1">
              <w:rPr>
                <w:color w:val="000000" w:themeColor="text1"/>
                <w:lang w:val="en-US"/>
              </w:rPr>
              <w:t>Monitoreo</w:t>
            </w:r>
            <w:proofErr w:type="spellEnd"/>
            <w:r w:rsidRPr="003862C1">
              <w:rPr>
                <w:color w:val="000000" w:themeColor="text1"/>
                <w:lang w:val="en-US"/>
              </w:rPr>
              <w:t xml:space="preserve">") explicitly addresses the need for routine monitoring of key elements related to the incorporation of climate issues, recommending both qualitative guidelines and quantitative metrics depending on the insurer’s size, business mix, and operational complexity. The document </w:t>
            </w:r>
            <w:r w:rsidRPr="003862C1">
              <w:rPr>
                <w:color w:val="000000" w:themeColor="text1"/>
                <w:lang w:val="en-US"/>
              </w:rPr>
              <w:lastRenderedPageBreak/>
              <w:t>further states that insurers should establish internal periodic reporting schemes on their material exposures to climate risk, including monitoring and mitigation actions, to support informed decision-making consistent with their risk appetite (Section 1.5). While the policy tool does not require the use of open data or public dashboards, it does promote transparency through annual climate-related disclosures in accordance with international frameworks such as the TCFD (Section 3, "</w:t>
            </w:r>
            <w:proofErr w:type="spellStart"/>
            <w:r w:rsidRPr="003862C1">
              <w:rPr>
                <w:color w:val="000000" w:themeColor="text1"/>
                <w:lang w:val="en-US"/>
              </w:rPr>
              <w:t>Revelación</w:t>
            </w:r>
            <w:proofErr w:type="spellEnd"/>
            <w:r w:rsidRPr="003862C1">
              <w:rPr>
                <w:color w:val="000000" w:themeColor="text1"/>
                <w:lang w:val="en-US"/>
              </w:rPr>
              <w:t xml:space="preserve"> de </w:t>
            </w:r>
            <w:proofErr w:type="spellStart"/>
            <w:r w:rsidRPr="003862C1">
              <w:rPr>
                <w:color w:val="000000" w:themeColor="text1"/>
                <w:lang w:val="en-US"/>
              </w:rPr>
              <w:t>información</w:t>
            </w:r>
            <w:proofErr w:type="spellEnd"/>
            <w:r w:rsidRPr="003862C1">
              <w:rPr>
                <w:color w:val="000000" w:themeColor="text1"/>
                <w:lang w:val="en-US"/>
              </w:rPr>
              <w:t>"). These internal and external reporting mechanisms are designed to facilitate ongoing supervision by the financial authority and to encourage continuous improvement in climate risk management practices (Sections 2.5 and 3).</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D941352" w:rsidR="00CF5268" w:rsidRDefault="003862C1"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64B6157E" w:rsidR="00CF5268" w:rsidRDefault="003862C1"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01C13ED5" w:rsidR="00CF5268" w:rsidRDefault="003862C1"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863787D" w:rsidR="00CF5268" w:rsidRDefault="003862C1"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B121499" w:rsidR="00CF5268" w:rsidRDefault="003862C1"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FAD0C78" w:rsidR="466E435B" w:rsidRDefault="003862C1"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CC43E19" w:rsidR="00CF5268" w:rsidRDefault="003862C1"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5F8F0B23" w:rsidR="466E435B" w:rsidRDefault="003862C1"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DAB378D" w:rsidR="466E435B" w:rsidRDefault="003862C1"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C7EDD08" w:rsidR="466E435B" w:rsidRDefault="003862C1"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9F280AE" w:rsidR="466E435B" w:rsidRDefault="003862C1"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73F67F4" w:rsidR="00CF5268" w:rsidRDefault="003862C1"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FEF1E5E" w:rsidR="00CF5268" w:rsidRDefault="00C85515"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7D22A483" w:rsidR="004B2D74" w:rsidRDefault="003862C1"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350E3711" w:rsidR="004B2D74" w:rsidRDefault="003862C1"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3683E631" w:rsidR="004B2D74" w:rsidRDefault="003862C1"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7D635C37" w:rsidR="004B2D74" w:rsidRDefault="003862C1"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0BDD342A" w:rsidR="004B2D74" w:rsidRDefault="003862C1"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0880667E" w:rsidR="004B2D74" w:rsidRDefault="003862C1" w:rsidP="00DD3144">
            <w:r>
              <w:t>X</w:t>
            </w:r>
          </w:p>
        </w:tc>
        <w:tc>
          <w:tcPr>
            <w:tcW w:w="1447" w:type="dxa"/>
            <w:vAlign w:val="center"/>
          </w:tcPr>
          <w:p w14:paraId="2D9BB3C0" w14:textId="77777777" w:rsidR="004B2D74" w:rsidRDefault="004B2D74" w:rsidP="00DD3144"/>
        </w:tc>
        <w:tc>
          <w:tcPr>
            <w:tcW w:w="1447" w:type="dxa"/>
            <w:vAlign w:val="center"/>
          </w:tcPr>
          <w:p w14:paraId="494B9DBF" w14:textId="4026F371"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rsidRPr="003862C1"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6A0C376F" w:rsidR="00C35794" w:rsidRPr="003862C1" w:rsidRDefault="003862C1" w:rsidP="003862C1">
            <w:pPr>
              <w:jc w:val="both"/>
              <w:rPr>
                <w:lang w:val="en-US"/>
              </w:rPr>
            </w:pPr>
            <w:r w:rsidRPr="003862C1">
              <w:rPr>
                <w:lang w:val="en-US"/>
              </w:rPr>
              <w:t>In particular, the policy tool is addressed to: "</w:t>
            </w:r>
            <w:r w:rsidRPr="003862C1">
              <w:rPr>
                <w:i/>
                <w:iCs/>
                <w:lang w:val="en-US"/>
              </w:rPr>
              <w:t>general insurance companies, life insurance companies, and insurance cooperatives, with respect to the incorporation of climate risk factors into their business decisions, including risk management</w:t>
            </w:r>
            <w:r w:rsidRPr="003862C1">
              <w:rPr>
                <w:lang w:val="en-US"/>
              </w:rPr>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536CC654" w:rsidR="00B536E6" w:rsidRDefault="00C85515"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0F01579D" w:rsidR="00B536E6" w:rsidRDefault="00C85515"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418AE65F" w:rsidR="00B536E6" w:rsidRDefault="00C85515"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08B4972B" w:rsidR="00B536E6" w:rsidRDefault="00C85515"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317F922" w:rsidR="00B536E6" w:rsidRDefault="00C85515"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19BD3CC9" w:rsidR="00B536E6" w:rsidRDefault="00C85515"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BD19DAD" w:rsidR="00B536E6" w:rsidRDefault="00C85515"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039AA13C" w:rsidR="00B536E6" w:rsidRDefault="00C85515"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5E2834CA" w:rsidR="00B536E6" w:rsidRDefault="00C85515"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77E19DA" w:rsidR="00B536E6" w:rsidRDefault="00C85515"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52C38B2E"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4BB28C52" w:rsidR="00B536E6" w:rsidRDefault="00C85515"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BBE149C" w:rsidR="00B536E6" w:rsidRDefault="00C85515"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62970F2" w:rsidR="00B536E6" w:rsidRDefault="00C85515"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5EDEF0AB" w:rsidR="00B536E6" w:rsidRDefault="00C85515"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9C3BA85" w:rsidR="00B536E6" w:rsidRDefault="00C85515"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54D75775" w:rsidR="00B536E6" w:rsidRDefault="00C85515"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44306DB" w:rsidR="00B536E6" w:rsidRDefault="00C85515"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7A6AFA37" w:rsidR="00B536E6" w:rsidRDefault="00C85515"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50DF714" w:rsidR="00B536E6" w:rsidRDefault="00C85515"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33CCB812" w:rsidR="00B536E6" w:rsidRDefault="00C85515"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4FBE637A" w:rsidR="00B536E6" w:rsidRDefault="00C85515"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55FB3076" w:rsidR="00B536E6" w:rsidRDefault="00C85515"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46C737F2" w:rsidR="00524D54" w:rsidRPr="003577A4" w:rsidRDefault="00C85515" w:rsidP="00DD3144">
            <w:r w:rsidRPr="00C85515">
              <w:t>All entities headquartered in Colombia or conducting activities within the national territory</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6BD62F8"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5B3588C" w:rsidR="00576ED8" w:rsidRDefault="002C10F2"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F0ADFC9" w:rsidR="00911F20" w:rsidRDefault="002C10F2"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6F380A8B" w:rsidR="00911F20" w:rsidRDefault="002C10F2"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3F95F3F" w:rsidR="00911F20" w:rsidRDefault="002C10F2"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C902969" w:rsidR="009C4798" w:rsidRDefault="002C10F2" w:rsidP="00DD3144">
            <w:r w:rsidRPr="0024663C">
              <w:rPr>
                <w:lang w:val="en-US"/>
              </w:rPr>
              <w:t xml:space="preserve">Although the </w:t>
            </w:r>
            <w:r>
              <w:rPr>
                <w:lang w:val="en-US"/>
              </w:rPr>
              <w:t xml:space="preserve">policy tool </w:t>
            </w:r>
            <w:r w:rsidRPr="0024663C">
              <w:rPr>
                <w:lang w:val="en-US"/>
              </w:rPr>
              <w:t>do</w:t>
            </w:r>
            <w:r>
              <w:rPr>
                <w:lang w:val="en-US"/>
              </w:rPr>
              <w:t>es</w:t>
            </w:r>
            <w:r w:rsidRPr="0024663C">
              <w:rPr>
                <w:lang w:val="en-US"/>
              </w:rPr>
              <w:t xml:space="preserve"> not specifically address the consequences of non-compliance, reference must be made to paragraph 3 of Article 208 of the Organic Statute of the Financial System (</w:t>
            </w:r>
            <w:proofErr w:type="spellStart"/>
            <w:r w:rsidRPr="0024663C">
              <w:rPr>
                <w:i/>
                <w:iCs/>
                <w:lang w:val="en-US"/>
              </w:rPr>
              <w:t>Estatuto</w:t>
            </w:r>
            <w:proofErr w:type="spellEnd"/>
            <w:r w:rsidRPr="0024663C">
              <w:rPr>
                <w:i/>
                <w:iCs/>
                <w:lang w:val="en-US"/>
              </w:rPr>
              <w:t xml:space="preserve"> </w:t>
            </w:r>
            <w:proofErr w:type="spellStart"/>
            <w:r w:rsidRPr="0024663C">
              <w:rPr>
                <w:i/>
                <w:iCs/>
                <w:lang w:val="en-US"/>
              </w:rPr>
              <w:t>Orgánico</w:t>
            </w:r>
            <w:proofErr w:type="spellEnd"/>
            <w:r w:rsidRPr="0024663C">
              <w:rPr>
                <w:i/>
                <w:iCs/>
                <w:lang w:val="en-US"/>
              </w:rPr>
              <w:t xml:space="preserve"> del Sistema Financiero</w:t>
            </w:r>
            <w:r w:rsidRPr="0024663C">
              <w:rPr>
                <w:lang w:val="en-US"/>
              </w:rPr>
              <w:t>), which sets forth the following sanctions: (</w:t>
            </w:r>
            <w:proofErr w:type="spellStart"/>
            <w:r w:rsidRPr="0024663C">
              <w:rPr>
                <w:lang w:val="en-US"/>
              </w:rPr>
              <w:t>i</w:t>
            </w:r>
            <w:proofErr w:type="spellEnd"/>
            <w:r w:rsidRPr="0024663C">
              <w:rPr>
                <w:lang w:val="en-US"/>
              </w:rPr>
              <w:t>) admonishment or warning; (ii) monetary fine; (iii) suspension or disqualification from positions requiring authorization by the SFC; and (iv) removal of administrators.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6A8A8C8C"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96F4284" w:rsidR="00CB1649" w:rsidRPr="00FA0CF8" w:rsidRDefault="00A15309"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63C509E4" w:rsidR="00BE0825" w:rsidRDefault="00A15309" w:rsidP="00DD3144">
            <w:pPr>
              <w:spacing w:line="276" w:lineRule="auto"/>
              <w:rPr>
                <w:color w:val="000000" w:themeColor="text1"/>
              </w:rPr>
            </w:pPr>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6076996" w:rsidR="008063B5" w:rsidRDefault="00861758"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CA73A35"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1AA83980" w:rsidR="00042406" w:rsidRDefault="00861758"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2B29CF8" w:rsidR="00042406" w:rsidRDefault="00861758"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593CBC25" w:rsidR="00042406" w:rsidRDefault="00861758"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A0AC06B" w:rsidR="00042406" w:rsidRDefault="00861758"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90DD233" w:rsidR="00042406" w:rsidRDefault="00042406" w:rsidP="00DD3144"/>
        </w:tc>
        <w:tc>
          <w:tcPr>
            <w:tcW w:w="1440" w:type="dxa"/>
            <w:vAlign w:val="center"/>
          </w:tcPr>
          <w:p w14:paraId="7EE9A7FE" w14:textId="1245A9F3" w:rsidR="00042406" w:rsidRDefault="00C3013E" w:rsidP="00DD3144">
            <w:r>
              <w:t>X</w:t>
            </w:r>
          </w:p>
        </w:tc>
        <w:tc>
          <w:tcPr>
            <w:tcW w:w="1890" w:type="dxa"/>
            <w:vAlign w:val="center"/>
          </w:tcPr>
          <w:p w14:paraId="64DEAA9D" w14:textId="582C71C6"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44903313" w:rsidR="00042406" w:rsidRDefault="00C3013E" w:rsidP="00DD3144">
            <w:r>
              <w:t>X</w:t>
            </w:r>
          </w:p>
        </w:tc>
        <w:tc>
          <w:tcPr>
            <w:tcW w:w="1890" w:type="dxa"/>
            <w:vAlign w:val="center"/>
          </w:tcPr>
          <w:p w14:paraId="0BF1E54E" w14:textId="554CF29D"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B723AF6" w:rsidR="00042406" w:rsidRDefault="00861758"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58544916" w:rsidR="00EC42A1" w:rsidRDefault="00D76E17"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3484B89E" w:rsidR="00EC42A1" w:rsidRDefault="00D76E17"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62AB6741" w:rsidR="00EC42A1" w:rsidRDefault="00D76E17"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4DBF9B9B" w:rsidR="00EC42A1" w:rsidRDefault="00D76E17" w:rsidP="00DD3144">
            <w:r>
              <w:t>X</w:t>
            </w:r>
          </w:p>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4AC179C7" w:rsidR="00EC42A1" w:rsidRDefault="00D76E17" w:rsidP="00DD3144">
            <w:r>
              <w:t>X</w:t>
            </w:r>
          </w:p>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7B69936B" w:rsidR="00EC42A1" w:rsidRDefault="00D76E17"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53EB035B" w:rsidR="00484663" w:rsidRDefault="00D76E17"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545F2B7D" w:rsidR="00484663" w:rsidRDefault="00D76E17"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79ECA7FA"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3A73A356" w:rsidR="00484663" w:rsidRDefault="00D76E17"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EB6E45F" w:rsidR="00484663" w:rsidRDefault="00D76E17" w:rsidP="00DD3144">
            <w:r>
              <w:t>X</w:t>
            </w:r>
          </w:p>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67BACB27" w:rsidR="00484663" w:rsidRDefault="00D76E17" w:rsidP="00DD3144">
            <w:r>
              <w:t>X</w:t>
            </w:r>
          </w:p>
        </w:tc>
      </w:tr>
      <w:tr w:rsidR="00484663" w14:paraId="2D11877E" w14:textId="77777777" w:rsidTr="00CC7CC0">
        <w:trPr>
          <w:trHeight w:val="53"/>
        </w:trPr>
        <w:tc>
          <w:tcPr>
            <w:tcW w:w="990" w:type="dxa"/>
            <w:vAlign w:val="center"/>
          </w:tcPr>
          <w:p w14:paraId="523FC108" w14:textId="1CC5B4EE"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041075F5" w:rsidR="00484663" w:rsidRDefault="00D76E17" w:rsidP="00DD3144">
            <w:r>
              <w:t>X</w:t>
            </w:r>
          </w:p>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0DA32044" w:rsidR="00484663" w:rsidRPr="00D76E17" w:rsidRDefault="00D76E17" w:rsidP="00D76E17">
            <w:pPr>
              <w:jc w:val="both"/>
              <w:rPr>
                <w:lang w:val="en-US"/>
              </w:rPr>
            </w:pPr>
            <w:r w:rsidRPr="00D76E17">
              <w:rPr>
                <w:lang w:val="en-US"/>
              </w:rPr>
              <w:t>The policy tool recommends that insurance companies disclose a broad range of climate-related information beyond just stress test results and scenario analysis methodologies. Specifically, it encourages annual disclosure of material climate-related risks and opportunities, including the procedures used to identify material climate information, the material climate issues identified and the rationale behind them, and justifications if no material climate impacts are perceived. For products marketed as climate-related, the tool recommends disclosing how product design and commercialization contribute to climate adaptation or mitigation, as well as the classification system or taxonomy used to define eligible activities and assets. However, these disclosures are recommended as best practices and are not mandatory under the current policy tool.</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6AFCD87B" w:rsidR="00DA416F" w:rsidRPr="00DD3144" w:rsidRDefault="00330FE1"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0109D9DA" w:rsidR="00DA416F" w:rsidRPr="00DD3144" w:rsidRDefault="00330FE1"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1F73AB6" w:rsidR="00DA416F" w:rsidRPr="00DD3144" w:rsidRDefault="00330FE1"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3941082F" w:rsidR="00DA416F" w:rsidRPr="00DD3144" w:rsidRDefault="00DA416F" w:rsidP="00DD3144">
            <w:pPr>
              <w:keepNext/>
              <w:rPr>
                <w:rFonts w:ascii="Calibri" w:hAnsi="Calibri" w:cs="Calibri"/>
              </w:rPr>
            </w:pPr>
          </w:p>
        </w:tc>
        <w:tc>
          <w:tcPr>
            <w:tcW w:w="1503" w:type="dxa"/>
            <w:vAlign w:val="center"/>
          </w:tcPr>
          <w:p w14:paraId="6BFA045B" w14:textId="43323345" w:rsidR="00DA416F" w:rsidRPr="00DD3144" w:rsidRDefault="00A32E70"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7E5A76B" w:rsidR="00DA416F" w:rsidRPr="00DD3144" w:rsidRDefault="00A32E70"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054AD68" w:rsidR="00DA416F" w:rsidRPr="00DD3144" w:rsidRDefault="00A32E70"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B8D3A3D" w:rsidR="00DA416F" w:rsidRPr="00DD3144" w:rsidRDefault="00A32E70"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3FFE644" w:rsidR="00DA416F" w:rsidRPr="00DD3144" w:rsidRDefault="00A32E70"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B3189B5" w:rsidR="00DA416F" w:rsidRPr="00DD3144" w:rsidRDefault="00A32E70"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67CB7C6" w:rsidR="00DA416F" w:rsidRPr="00DD3144" w:rsidRDefault="00A32E70"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9A30AA9" w:rsidR="00DA416F" w:rsidRPr="00DD3144" w:rsidRDefault="00A32E70"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EDCC62B" w:rsidR="00DA416F" w:rsidRPr="00DD3144" w:rsidRDefault="00A32E70"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6AB321E" w:rsidR="00DA416F" w:rsidRPr="00DD3144" w:rsidRDefault="00A32E70"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6710CF9" w:rsidR="00DA416F" w:rsidRPr="00DD3144" w:rsidRDefault="00C85515"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435FB252" w:rsidR="00D4323A" w:rsidRPr="00CF2E7C" w:rsidRDefault="00010154"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948D1C0" w:rsidR="00D4323A" w:rsidRPr="00CF2E7C" w:rsidRDefault="00010154"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9A3840D" w:rsidR="00D4323A" w:rsidRPr="00CF2E7C" w:rsidRDefault="00010154"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610D9D45" w:rsidR="00D4323A" w:rsidRPr="00CF2E7C" w:rsidRDefault="00010154"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625742E5" w:rsidR="00D4323A" w:rsidRPr="00CF2E7C" w:rsidRDefault="00010154"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8AE3B6F" w:rsidR="00D4323A" w:rsidRPr="00CF2E7C" w:rsidRDefault="00010154"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5F2AEEE8" w:rsidR="00D4323A" w:rsidRPr="00CF2E7C" w:rsidRDefault="00010154"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D1C3577" w:rsidR="00D4323A" w:rsidRPr="00CF2E7C" w:rsidRDefault="00010154"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0E3BE163" w:rsidR="00D4323A" w:rsidRPr="00CF2E7C" w:rsidRDefault="00010154"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A424D8F" w:rsidR="00D4323A" w:rsidRPr="00CF2E7C" w:rsidRDefault="00010154"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4CA64270" w:rsidR="00D4323A" w:rsidRPr="00CF2E7C" w:rsidRDefault="00010154"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14F9436" w:rsidR="00D4323A" w:rsidRPr="00CF2E7C" w:rsidRDefault="00010154"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2A0B80E7" w:rsidR="00D4323A" w:rsidRPr="00CF2E7C" w:rsidRDefault="00C85515"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lastRenderedPageBreak/>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05ED526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04F5A713" w:rsidR="00DD292A" w:rsidRPr="00CF2E7C" w:rsidRDefault="00010154"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5F173401" w:rsidR="00DD292A" w:rsidRPr="00CF2E7C" w:rsidRDefault="00010154"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1832FBBC" w:rsidR="00DD292A" w:rsidRPr="00CF2E7C" w:rsidRDefault="00010154"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6F007F3" w:rsidR="00DD292A" w:rsidRPr="00CF2E7C" w:rsidRDefault="00010154"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16DFF5E" w:rsidR="00DD292A" w:rsidRPr="00CF2E7C" w:rsidRDefault="00010154"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23EAB05D" w:rsidR="00DD292A" w:rsidRPr="00CF2E7C" w:rsidRDefault="00010154" w:rsidP="00CF2E7C">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2F1EC388" w:rsidR="00DD292A" w:rsidRPr="00CF2E7C" w:rsidRDefault="00010154" w:rsidP="00CF2E7C">
            <w:pPr>
              <w:rPr>
                <w:rFonts w:ascii="Calibri" w:hAnsi="Calibri" w:cs="Calibri"/>
              </w:rPr>
            </w:pPr>
            <w:r w:rsidRPr="003862C1">
              <w:rPr>
                <w:lang w:val="en-US"/>
              </w:rPr>
              <w:t>In particular, the policy tool is addressed to: "</w:t>
            </w:r>
            <w:r w:rsidRPr="003862C1">
              <w:rPr>
                <w:i/>
                <w:iCs/>
                <w:lang w:val="en-US"/>
              </w:rPr>
              <w:t>general insurance companies, life insurance companies, and insurance cooperatives, with respect to the incorporation of climate risk factors into their business decisions, including risk management</w:t>
            </w:r>
            <w:r w:rsidRPr="003862C1">
              <w:rPr>
                <w:lang w:val="en-US"/>
              </w:rPr>
              <w:t>."</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C7FAC7B" w:rsidR="00DD292A" w:rsidRPr="00CF2E7C" w:rsidRDefault="00C85515"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4908F42D" w:rsidR="00DD292A" w:rsidRPr="00CF2E7C" w:rsidRDefault="00C85515"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8C482C" w:rsidR="00DD292A" w:rsidRPr="00CF2E7C" w:rsidRDefault="00C85515"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5BB9BA6A" w:rsidR="00DD292A" w:rsidRPr="00CF2E7C" w:rsidRDefault="00C85515"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F316D37" w:rsidR="00DD292A" w:rsidRPr="00CF2E7C" w:rsidRDefault="00C85515"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2637C8B9" w:rsidR="00DD292A" w:rsidRPr="00CF2E7C" w:rsidRDefault="00C85515"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lastRenderedPageBreak/>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451C30DB" w:rsidR="00DD292A" w:rsidRPr="00CF2E7C" w:rsidRDefault="00C85515"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658B1E9E" w:rsidR="00DD292A" w:rsidRPr="00CF2E7C" w:rsidRDefault="00C85515"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2522842B" w:rsidR="00DD292A" w:rsidRPr="00CF2E7C" w:rsidRDefault="00C85515"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38352742" w:rsidR="00DD292A" w:rsidRPr="00CF2E7C" w:rsidRDefault="00C85515"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6A2FED4F" w:rsidR="00DD292A" w:rsidRPr="00CF2E7C" w:rsidRDefault="00C85515"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4BAFE3D6" w:rsidR="00DD292A" w:rsidRPr="00CF2E7C" w:rsidRDefault="00C85515"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35C4776A" w:rsidR="00DD292A" w:rsidRPr="00CF2E7C" w:rsidRDefault="00C85515"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4D25DBD9" w:rsidR="00DD292A" w:rsidRPr="00CF2E7C" w:rsidRDefault="00C85515"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406FF277" w:rsidR="00DD292A" w:rsidRPr="00CF2E7C" w:rsidRDefault="00C85515"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21B5A8E2" w:rsidR="00DD292A" w:rsidRPr="00CF2E7C" w:rsidRDefault="00C85515"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511C9DEC" w:rsidR="00DD292A" w:rsidRPr="00CF2E7C" w:rsidRDefault="00C85515"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51E34CF0" w:rsidR="00DD292A" w:rsidRPr="00CF2E7C" w:rsidRDefault="00C85515"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180B63BD" w:rsidR="00DD292A" w:rsidRPr="00CF2E7C" w:rsidRDefault="00C85515"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07FE0741" w:rsidR="00DD292A" w:rsidRPr="00CF2E7C" w:rsidRDefault="00C85515"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376907EE" w:rsidR="00DD292A" w:rsidRPr="00CF2E7C" w:rsidRDefault="00C85515"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5361FB98" w:rsidR="00DD292A" w:rsidRPr="00CF2E7C" w:rsidRDefault="00C85515"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543AA016"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6E9163D1" w:rsidR="00DD292A" w:rsidRPr="00CF2E7C" w:rsidRDefault="00C85515" w:rsidP="00CF2E7C">
            <w:pPr>
              <w:rPr>
                <w:rFonts w:ascii="Calibri" w:hAnsi="Calibri" w:cs="Calibri"/>
              </w:rPr>
            </w:pPr>
            <w:r w:rsidRPr="00C85515">
              <w:rPr>
                <w:rFonts w:ascii="Calibri" w:hAnsi="Calibri" w:cs="Calibri"/>
              </w:rPr>
              <w:t>All entities headquartered in Colombia or conducting activities within the national territory</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24F23959"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B42E7B6" w:rsidR="00DD292A" w:rsidRPr="00CF2E7C" w:rsidRDefault="00010154"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50C0239B" w:rsidR="00DD3B33" w:rsidRPr="00CF2E7C" w:rsidRDefault="00010154"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622E020" w:rsidR="00DD3B33" w:rsidRPr="00CF2E7C" w:rsidRDefault="00010154"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lastRenderedPageBreak/>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2FD1E44" w:rsidR="00DD3B33" w:rsidRPr="00CF2E7C" w:rsidRDefault="00010154"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010154">
        <w:trPr>
          <w:trHeight w:val="782"/>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0ED6BBBA" w:rsidR="00DD3B33" w:rsidRPr="00CF2E7C" w:rsidRDefault="00010154" w:rsidP="00CF2E7C">
            <w:pPr>
              <w:rPr>
                <w:rFonts w:ascii="Calibri" w:hAnsi="Calibri" w:cs="Calibri"/>
              </w:rPr>
            </w:pPr>
            <w:r w:rsidRPr="0024663C">
              <w:rPr>
                <w:lang w:val="en-US"/>
              </w:rPr>
              <w:t xml:space="preserve">Although the </w:t>
            </w:r>
            <w:r>
              <w:rPr>
                <w:lang w:val="en-US"/>
              </w:rPr>
              <w:t xml:space="preserve">policy tool </w:t>
            </w:r>
            <w:r w:rsidRPr="0024663C">
              <w:rPr>
                <w:lang w:val="en-US"/>
              </w:rPr>
              <w:t>do</w:t>
            </w:r>
            <w:r>
              <w:rPr>
                <w:lang w:val="en-US"/>
              </w:rPr>
              <w:t>es</w:t>
            </w:r>
            <w:r w:rsidRPr="0024663C">
              <w:rPr>
                <w:lang w:val="en-US"/>
              </w:rPr>
              <w:t xml:space="preserve"> not specifically address the consequences of non-compliance, reference must be made to paragraph 3 of Article 208 of the Organic Statute of the Financial System (</w:t>
            </w:r>
            <w:proofErr w:type="spellStart"/>
            <w:r w:rsidRPr="0024663C">
              <w:rPr>
                <w:i/>
                <w:iCs/>
                <w:lang w:val="en-US"/>
              </w:rPr>
              <w:t>Estatuto</w:t>
            </w:r>
            <w:proofErr w:type="spellEnd"/>
            <w:r w:rsidRPr="0024663C">
              <w:rPr>
                <w:i/>
                <w:iCs/>
                <w:lang w:val="en-US"/>
              </w:rPr>
              <w:t xml:space="preserve"> </w:t>
            </w:r>
            <w:proofErr w:type="spellStart"/>
            <w:r w:rsidRPr="0024663C">
              <w:rPr>
                <w:i/>
                <w:iCs/>
                <w:lang w:val="en-US"/>
              </w:rPr>
              <w:t>Orgánico</w:t>
            </w:r>
            <w:proofErr w:type="spellEnd"/>
            <w:r w:rsidRPr="0024663C">
              <w:rPr>
                <w:i/>
                <w:iCs/>
                <w:lang w:val="en-US"/>
              </w:rPr>
              <w:t xml:space="preserve"> del Sistema Financiero</w:t>
            </w:r>
            <w:r w:rsidRPr="0024663C">
              <w:rPr>
                <w:lang w:val="en-US"/>
              </w:rPr>
              <w:t>), which sets forth the following sanctions: (</w:t>
            </w:r>
            <w:proofErr w:type="spellStart"/>
            <w:r w:rsidRPr="0024663C">
              <w:rPr>
                <w:lang w:val="en-US"/>
              </w:rPr>
              <w:t>i</w:t>
            </w:r>
            <w:proofErr w:type="spellEnd"/>
            <w:r w:rsidRPr="0024663C">
              <w:rPr>
                <w:lang w:val="en-US"/>
              </w:rPr>
              <w:t>) admonishment or warning; (ii) monetary fine; (iii) suspension or disqualification from positions requiring authorization by the SFC; and (iv) removal of administrators</w:t>
            </w:r>
            <w:r>
              <w:rPr>
                <w:lang w:val="en-US"/>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0D00D80" w:rsidR="00DD292A" w:rsidRPr="00CF2E7C" w:rsidRDefault="00010154"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02EB21C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3F09040" w:rsidR="00DD292A" w:rsidRPr="00CF2E7C" w:rsidRDefault="00010154" w:rsidP="00CF2E7C">
            <w:pPr>
              <w:rPr>
                <w:rFonts w:ascii="Calibri" w:hAnsi="Calibri" w:cs="Calibri"/>
              </w:rPr>
            </w:pPr>
            <w:r>
              <w:rPr>
                <w:color w:val="000000" w:themeColor="text1"/>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117B7356"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660E8FC1" w:rsidR="00410853" w:rsidRPr="00CF2E7C" w:rsidRDefault="00F417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57ADBBE0" w:rsidR="00410853" w:rsidRPr="00CF2E7C" w:rsidRDefault="00F417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C7991D6" w:rsidR="00F632FB" w:rsidRPr="00CF2E7C" w:rsidRDefault="00F417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EDC69E7" w:rsidR="00F632FB" w:rsidRPr="00CF2E7C" w:rsidRDefault="00F417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8D78E5F" w:rsidR="00F632FB" w:rsidRPr="00CF2E7C" w:rsidRDefault="00F417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0AF16B51" w:rsidR="008C4722" w:rsidRPr="00CF2E7C" w:rsidRDefault="006767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41DA025" w:rsidR="008C4722" w:rsidRPr="00CF2E7C" w:rsidRDefault="006767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8D07E12" w:rsidR="008C4722" w:rsidRPr="00CF2E7C" w:rsidRDefault="006767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11813010" w:rsidR="008C4722" w:rsidRPr="00CF2E7C" w:rsidRDefault="006767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BBB3A1" w14:textId="08D0D041" w:rsidR="00574714" w:rsidRDefault="00574714" w:rsidP="00CF2E7C">
            <w:pPr>
              <w:textAlignment w:val="baseline"/>
              <w:rPr>
                <w:rFonts w:ascii="Calibri" w:eastAsia="Times New Roman" w:hAnsi="Calibri" w:cs="Calibri"/>
                <w:kern w:val="0"/>
                <w:lang w:val="en-US" w:eastAsia="en-GB"/>
                <w14:ligatures w14:val="none"/>
              </w:rPr>
            </w:pPr>
            <w:r w:rsidRPr="00574714">
              <w:rPr>
                <w:rFonts w:ascii="Calibri" w:eastAsia="Times New Roman" w:hAnsi="Calibri" w:cs="Calibri"/>
                <w:kern w:val="0"/>
                <w:lang w:val="en-US" w:eastAsia="en-GB"/>
                <w14:ligatures w14:val="none"/>
              </w:rPr>
              <w:t>The policy tool comprehensively addresses the incidence of climate-related financial risks on the targeted entity by requiring the integration of climate risk factors—specifically physical, transition, and litigation risks—into the entity’s governance, strategy, and risk management frameworks (see Section II, "</w:t>
            </w:r>
            <w:proofErr w:type="spellStart"/>
            <w:proofErr w:type="gramStart"/>
            <w:r w:rsidRPr="00574714">
              <w:rPr>
                <w:rFonts w:ascii="Calibri" w:eastAsia="Times New Roman" w:hAnsi="Calibri" w:cs="Calibri"/>
                <w:i/>
                <w:iCs/>
                <w:kern w:val="0"/>
                <w:lang w:val="en-US" w:eastAsia="en-GB"/>
                <w14:ligatures w14:val="none"/>
              </w:rPr>
              <w:t>Principios</w:t>
            </w:r>
            <w:proofErr w:type="spellEnd"/>
            <w:proofErr w:type="gramEnd"/>
            <w:r w:rsidRPr="00574714">
              <w:rPr>
                <w:rFonts w:ascii="Calibri" w:eastAsia="Times New Roman" w:hAnsi="Calibri" w:cs="Calibri"/>
                <w:i/>
                <w:iCs/>
                <w:kern w:val="0"/>
                <w:lang w:val="en-US" w:eastAsia="en-GB"/>
                <w14:ligatures w14:val="none"/>
              </w:rPr>
              <w:t xml:space="preserve"> para la </w:t>
            </w:r>
            <w:proofErr w:type="spellStart"/>
            <w:r w:rsidRPr="00574714">
              <w:rPr>
                <w:rFonts w:ascii="Calibri" w:eastAsia="Times New Roman" w:hAnsi="Calibri" w:cs="Calibri"/>
                <w:i/>
                <w:iCs/>
                <w:kern w:val="0"/>
                <w:lang w:val="en-US" w:eastAsia="en-GB"/>
                <w14:ligatures w14:val="none"/>
              </w:rPr>
              <w:t>administración</w:t>
            </w:r>
            <w:proofErr w:type="spellEnd"/>
            <w:r w:rsidRPr="00574714">
              <w:rPr>
                <w:rFonts w:ascii="Calibri" w:eastAsia="Times New Roman" w:hAnsi="Calibri" w:cs="Calibri"/>
                <w:i/>
                <w:iCs/>
                <w:kern w:val="0"/>
                <w:lang w:val="en-US" w:eastAsia="en-GB"/>
                <w14:ligatures w14:val="none"/>
              </w:rPr>
              <w:t xml:space="preserve"> de </w:t>
            </w:r>
            <w:proofErr w:type="spellStart"/>
            <w:r w:rsidRPr="00574714">
              <w:rPr>
                <w:rFonts w:ascii="Calibri" w:eastAsia="Times New Roman" w:hAnsi="Calibri" w:cs="Calibri"/>
                <w:i/>
                <w:iCs/>
                <w:kern w:val="0"/>
                <w:lang w:val="en-US" w:eastAsia="en-GB"/>
                <w14:ligatures w14:val="none"/>
              </w:rPr>
              <w:t>los</w:t>
            </w:r>
            <w:proofErr w:type="spellEnd"/>
            <w:r w:rsidRPr="00574714">
              <w:rPr>
                <w:rFonts w:ascii="Calibri" w:eastAsia="Times New Roman" w:hAnsi="Calibri" w:cs="Calibri"/>
                <w:i/>
                <w:iCs/>
                <w:kern w:val="0"/>
                <w:lang w:val="en-US" w:eastAsia="en-GB"/>
                <w14:ligatures w14:val="none"/>
              </w:rPr>
              <w:t xml:space="preserve"> </w:t>
            </w:r>
            <w:proofErr w:type="spellStart"/>
            <w:r w:rsidRPr="00574714">
              <w:rPr>
                <w:rFonts w:ascii="Calibri" w:eastAsia="Times New Roman" w:hAnsi="Calibri" w:cs="Calibri"/>
                <w:i/>
                <w:iCs/>
                <w:kern w:val="0"/>
                <w:lang w:val="en-US" w:eastAsia="en-GB"/>
                <w14:ligatures w14:val="none"/>
              </w:rPr>
              <w:t>riesgos</w:t>
            </w:r>
            <w:proofErr w:type="spellEnd"/>
            <w:r w:rsidRPr="00574714">
              <w:rPr>
                <w:rFonts w:ascii="Calibri" w:eastAsia="Times New Roman" w:hAnsi="Calibri" w:cs="Calibri"/>
                <w:i/>
                <w:iCs/>
                <w:kern w:val="0"/>
                <w:lang w:val="en-US" w:eastAsia="en-GB"/>
                <w14:ligatures w14:val="none"/>
              </w:rPr>
              <w:t xml:space="preserve"> </w:t>
            </w:r>
            <w:proofErr w:type="spellStart"/>
            <w:r w:rsidRPr="00574714">
              <w:rPr>
                <w:rFonts w:ascii="Calibri" w:eastAsia="Times New Roman" w:hAnsi="Calibri" w:cs="Calibri"/>
                <w:i/>
                <w:iCs/>
                <w:kern w:val="0"/>
                <w:lang w:val="en-US" w:eastAsia="en-GB"/>
                <w14:ligatures w14:val="none"/>
              </w:rPr>
              <w:t>financieros</w:t>
            </w:r>
            <w:proofErr w:type="spellEnd"/>
            <w:r w:rsidRPr="00574714">
              <w:rPr>
                <w:rFonts w:ascii="Calibri" w:eastAsia="Times New Roman" w:hAnsi="Calibri" w:cs="Calibri"/>
                <w:i/>
                <w:iCs/>
                <w:kern w:val="0"/>
                <w:lang w:val="en-US" w:eastAsia="en-GB"/>
                <w14:ligatures w14:val="none"/>
              </w:rPr>
              <w:t xml:space="preserve"> </w:t>
            </w:r>
            <w:proofErr w:type="spellStart"/>
            <w:r w:rsidRPr="00574714">
              <w:rPr>
                <w:rFonts w:ascii="Calibri" w:eastAsia="Times New Roman" w:hAnsi="Calibri" w:cs="Calibri"/>
                <w:i/>
                <w:iCs/>
                <w:kern w:val="0"/>
                <w:lang w:val="en-US" w:eastAsia="en-GB"/>
                <w14:ligatures w14:val="none"/>
              </w:rPr>
              <w:t>derivados</w:t>
            </w:r>
            <w:proofErr w:type="spellEnd"/>
            <w:r w:rsidRPr="00574714">
              <w:rPr>
                <w:rFonts w:ascii="Calibri" w:eastAsia="Times New Roman" w:hAnsi="Calibri" w:cs="Calibri"/>
                <w:i/>
                <w:iCs/>
                <w:kern w:val="0"/>
                <w:lang w:val="en-US" w:eastAsia="en-GB"/>
                <w14:ligatures w14:val="none"/>
              </w:rPr>
              <w:t xml:space="preserve"> del </w:t>
            </w:r>
            <w:proofErr w:type="spellStart"/>
            <w:r w:rsidRPr="00574714">
              <w:rPr>
                <w:rFonts w:ascii="Calibri" w:eastAsia="Times New Roman" w:hAnsi="Calibri" w:cs="Calibri"/>
                <w:i/>
                <w:iCs/>
                <w:kern w:val="0"/>
                <w:lang w:val="en-US" w:eastAsia="en-GB"/>
                <w14:ligatures w14:val="none"/>
              </w:rPr>
              <w:t>cambio</w:t>
            </w:r>
            <w:proofErr w:type="spellEnd"/>
            <w:r w:rsidRPr="00574714">
              <w:rPr>
                <w:rFonts w:ascii="Calibri" w:eastAsia="Times New Roman" w:hAnsi="Calibri" w:cs="Calibri"/>
                <w:i/>
                <w:iCs/>
                <w:kern w:val="0"/>
                <w:lang w:val="en-US" w:eastAsia="en-GB"/>
                <w14:ligatures w14:val="none"/>
              </w:rPr>
              <w:t xml:space="preserve"> </w:t>
            </w:r>
            <w:proofErr w:type="spellStart"/>
            <w:r w:rsidRPr="00574714">
              <w:rPr>
                <w:rFonts w:ascii="Calibri" w:eastAsia="Times New Roman" w:hAnsi="Calibri" w:cs="Calibri"/>
                <w:i/>
                <w:iCs/>
                <w:kern w:val="0"/>
                <w:lang w:val="en-US" w:eastAsia="en-GB"/>
                <w14:ligatures w14:val="none"/>
              </w:rPr>
              <w:t>climático</w:t>
            </w:r>
            <w:proofErr w:type="spellEnd"/>
            <w:r w:rsidRPr="00574714">
              <w:rPr>
                <w:rFonts w:ascii="Calibri" w:eastAsia="Times New Roman" w:hAnsi="Calibri" w:cs="Calibri"/>
                <w:kern w:val="0"/>
                <w:lang w:val="en-US" w:eastAsia="en-GB"/>
                <w14:ligatures w14:val="none"/>
              </w:rPr>
              <w:t>,"). It mandates that insurers incorporate these risks into their strategic planning, business model, financial planning, and risk appetite frameworks to ensure business viability and sustainability (Section II.1, p. 19). The tool further details that climate-related risks can materially affect traditional risk categories such as underwriting, market, counterparty, and liquidity risks, as well as non-financial risks like operational, reputational, legal, and strategic risks (Section I, "</w:t>
            </w:r>
            <w:r w:rsidRPr="00574714">
              <w:rPr>
                <w:rFonts w:ascii="Calibri" w:eastAsia="Times New Roman" w:hAnsi="Calibri" w:cs="Calibri"/>
                <w:i/>
                <w:iCs/>
                <w:kern w:val="0"/>
                <w:lang w:val="en-US" w:eastAsia="en-GB"/>
                <w14:ligatures w14:val="none"/>
              </w:rPr>
              <w:t xml:space="preserve">El </w:t>
            </w:r>
            <w:proofErr w:type="spellStart"/>
            <w:r w:rsidRPr="00574714">
              <w:rPr>
                <w:rFonts w:ascii="Calibri" w:eastAsia="Times New Roman" w:hAnsi="Calibri" w:cs="Calibri"/>
                <w:i/>
                <w:iCs/>
                <w:kern w:val="0"/>
                <w:lang w:val="en-US" w:eastAsia="en-GB"/>
                <w14:ligatures w14:val="none"/>
              </w:rPr>
              <w:t>impacto</w:t>
            </w:r>
            <w:proofErr w:type="spellEnd"/>
            <w:r w:rsidRPr="00574714">
              <w:rPr>
                <w:rFonts w:ascii="Calibri" w:eastAsia="Times New Roman" w:hAnsi="Calibri" w:cs="Calibri"/>
                <w:i/>
                <w:iCs/>
                <w:kern w:val="0"/>
                <w:lang w:val="en-US" w:eastAsia="en-GB"/>
                <w14:ligatures w14:val="none"/>
              </w:rPr>
              <w:t xml:space="preserve"> </w:t>
            </w:r>
            <w:proofErr w:type="spellStart"/>
            <w:r w:rsidRPr="00574714">
              <w:rPr>
                <w:rFonts w:ascii="Calibri" w:eastAsia="Times New Roman" w:hAnsi="Calibri" w:cs="Calibri"/>
                <w:i/>
                <w:iCs/>
                <w:kern w:val="0"/>
                <w:lang w:val="en-US" w:eastAsia="en-GB"/>
                <w14:ligatures w14:val="none"/>
              </w:rPr>
              <w:t>financiero</w:t>
            </w:r>
            <w:proofErr w:type="spellEnd"/>
            <w:r w:rsidRPr="00574714">
              <w:rPr>
                <w:rFonts w:ascii="Calibri" w:eastAsia="Times New Roman" w:hAnsi="Calibri" w:cs="Calibri"/>
                <w:i/>
                <w:iCs/>
                <w:kern w:val="0"/>
                <w:lang w:val="en-US" w:eastAsia="en-GB"/>
                <w14:ligatures w14:val="none"/>
              </w:rPr>
              <w:t xml:space="preserve"> de </w:t>
            </w:r>
            <w:proofErr w:type="spellStart"/>
            <w:r w:rsidRPr="00574714">
              <w:rPr>
                <w:rFonts w:ascii="Calibri" w:eastAsia="Times New Roman" w:hAnsi="Calibri" w:cs="Calibri"/>
                <w:i/>
                <w:iCs/>
                <w:kern w:val="0"/>
                <w:lang w:val="en-US" w:eastAsia="en-GB"/>
                <w14:ligatures w14:val="none"/>
              </w:rPr>
              <w:t>los</w:t>
            </w:r>
            <w:proofErr w:type="spellEnd"/>
            <w:r w:rsidRPr="00574714">
              <w:rPr>
                <w:rFonts w:ascii="Calibri" w:eastAsia="Times New Roman" w:hAnsi="Calibri" w:cs="Calibri"/>
                <w:i/>
                <w:iCs/>
                <w:kern w:val="0"/>
                <w:lang w:val="en-US" w:eastAsia="en-GB"/>
                <w14:ligatures w14:val="none"/>
              </w:rPr>
              <w:t xml:space="preserve"> </w:t>
            </w:r>
            <w:proofErr w:type="spellStart"/>
            <w:r w:rsidRPr="00574714">
              <w:rPr>
                <w:rFonts w:ascii="Calibri" w:eastAsia="Times New Roman" w:hAnsi="Calibri" w:cs="Calibri"/>
                <w:i/>
                <w:iCs/>
                <w:kern w:val="0"/>
                <w:lang w:val="en-US" w:eastAsia="en-GB"/>
                <w14:ligatures w14:val="none"/>
              </w:rPr>
              <w:t>riesgos</w:t>
            </w:r>
            <w:proofErr w:type="spellEnd"/>
            <w:r w:rsidRPr="00574714">
              <w:rPr>
                <w:rFonts w:ascii="Calibri" w:eastAsia="Times New Roman" w:hAnsi="Calibri" w:cs="Calibri"/>
                <w:i/>
                <w:iCs/>
                <w:kern w:val="0"/>
                <w:lang w:val="en-US" w:eastAsia="en-GB"/>
                <w14:ligatures w14:val="none"/>
              </w:rPr>
              <w:t xml:space="preserve"> </w:t>
            </w:r>
            <w:proofErr w:type="spellStart"/>
            <w:r w:rsidRPr="00574714">
              <w:rPr>
                <w:rFonts w:ascii="Calibri" w:eastAsia="Times New Roman" w:hAnsi="Calibri" w:cs="Calibri"/>
                <w:i/>
                <w:iCs/>
                <w:kern w:val="0"/>
                <w:lang w:val="en-US" w:eastAsia="en-GB"/>
                <w14:ligatures w14:val="none"/>
              </w:rPr>
              <w:t>climáticos</w:t>
            </w:r>
            <w:proofErr w:type="spellEnd"/>
            <w:r w:rsidRPr="00574714">
              <w:rPr>
                <w:rFonts w:ascii="Calibri" w:eastAsia="Times New Roman" w:hAnsi="Calibri" w:cs="Calibri"/>
                <w:i/>
                <w:iCs/>
                <w:kern w:val="0"/>
                <w:lang w:val="en-US" w:eastAsia="en-GB"/>
                <w14:ligatures w14:val="none"/>
              </w:rPr>
              <w:t xml:space="preserve"> </w:t>
            </w:r>
            <w:proofErr w:type="spellStart"/>
            <w:r w:rsidRPr="00574714">
              <w:rPr>
                <w:rFonts w:ascii="Calibri" w:eastAsia="Times New Roman" w:hAnsi="Calibri" w:cs="Calibri"/>
                <w:i/>
                <w:iCs/>
                <w:kern w:val="0"/>
                <w:lang w:val="en-US" w:eastAsia="en-GB"/>
                <w14:ligatures w14:val="none"/>
              </w:rPr>
              <w:t>en</w:t>
            </w:r>
            <w:proofErr w:type="spellEnd"/>
            <w:r w:rsidRPr="00574714">
              <w:rPr>
                <w:rFonts w:ascii="Calibri" w:eastAsia="Times New Roman" w:hAnsi="Calibri" w:cs="Calibri"/>
                <w:i/>
                <w:iCs/>
                <w:kern w:val="0"/>
                <w:lang w:val="en-US" w:eastAsia="en-GB"/>
                <w14:ligatures w14:val="none"/>
              </w:rPr>
              <w:t xml:space="preserve"> las </w:t>
            </w:r>
            <w:proofErr w:type="spellStart"/>
            <w:r w:rsidRPr="00574714">
              <w:rPr>
                <w:rFonts w:ascii="Calibri" w:eastAsia="Times New Roman" w:hAnsi="Calibri" w:cs="Calibri"/>
                <w:i/>
                <w:iCs/>
                <w:kern w:val="0"/>
                <w:lang w:val="en-US" w:eastAsia="en-GB"/>
                <w14:ligatures w14:val="none"/>
              </w:rPr>
              <w:t>compañías</w:t>
            </w:r>
            <w:proofErr w:type="spellEnd"/>
            <w:r w:rsidRPr="00574714">
              <w:rPr>
                <w:rFonts w:ascii="Calibri" w:eastAsia="Times New Roman" w:hAnsi="Calibri" w:cs="Calibri"/>
                <w:i/>
                <w:iCs/>
                <w:kern w:val="0"/>
                <w:lang w:val="en-US" w:eastAsia="en-GB"/>
                <w14:ligatures w14:val="none"/>
              </w:rPr>
              <w:t xml:space="preserve"> </w:t>
            </w:r>
            <w:proofErr w:type="spellStart"/>
            <w:r w:rsidRPr="00574714">
              <w:rPr>
                <w:rFonts w:ascii="Calibri" w:eastAsia="Times New Roman" w:hAnsi="Calibri" w:cs="Calibri"/>
                <w:i/>
                <w:iCs/>
                <w:kern w:val="0"/>
                <w:lang w:val="en-US" w:eastAsia="en-GB"/>
                <w14:ligatures w14:val="none"/>
              </w:rPr>
              <w:t>aseguradoras</w:t>
            </w:r>
            <w:proofErr w:type="spellEnd"/>
            <w:r w:rsidRPr="00574714">
              <w:rPr>
                <w:rFonts w:ascii="Calibri" w:eastAsia="Times New Roman" w:hAnsi="Calibri" w:cs="Calibri"/>
                <w:kern w:val="0"/>
                <w:lang w:val="en-US" w:eastAsia="en-GB"/>
                <w14:ligatures w14:val="none"/>
              </w:rPr>
              <w:t xml:space="preserve">,"). </w:t>
            </w:r>
          </w:p>
          <w:p w14:paraId="39FC6AFA" w14:textId="25EB00C4" w:rsidR="008C4722" w:rsidRPr="00574714" w:rsidRDefault="00574714" w:rsidP="00CF2E7C">
            <w:pPr>
              <w:textAlignment w:val="baseline"/>
              <w:rPr>
                <w:rFonts w:ascii="Calibri" w:eastAsia="Times New Roman" w:hAnsi="Calibri" w:cs="Calibri"/>
                <w:kern w:val="0"/>
                <w:lang w:val="en-US" w:eastAsia="en-GB"/>
                <w14:ligatures w14:val="none"/>
              </w:rPr>
            </w:pPr>
            <w:r w:rsidRPr="00574714">
              <w:rPr>
                <w:rFonts w:ascii="Calibri" w:eastAsia="Times New Roman" w:hAnsi="Calibri" w:cs="Calibri"/>
                <w:kern w:val="0"/>
                <w:lang w:val="en-US" w:eastAsia="en-GB"/>
                <w14:ligatures w14:val="none"/>
              </w:rPr>
              <w:t>The policy tool also emphasizes the need for scenario analysis and stress testing to assess the resilience and vulnerability of the business to various climate outcomes (Section 2.4, "</w:t>
            </w:r>
            <w:proofErr w:type="spellStart"/>
            <w:r w:rsidRPr="00574714">
              <w:rPr>
                <w:rFonts w:ascii="Calibri" w:eastAsia="Times New Roman" w:hAnsi="Calibri" w:cs="Calibri"/>
                <w:i/>
                <w:iCs/>
                <w:kern w:val="0"/>
                <w:lang w:val="en-US" w:eastAsia="en-GB"/>
                <w14:ligatures w14:val="none"/>
              </w:rPr>
              <w:t>Análisis</w:t>
            </w:r>
            <w:proofErr w:type="spellEnd"/>
            <w:r w:rsidRPr="00574714">
              <w:rPr>
                <w:rFonts w:ascii="Calibri" w:eastAsia="Times New Roman" w:hAnsi="Calibri" w:cs="Calibri"/>
                <w:i/>
                <w:iCs/>
                <w:kern w:val="0"/>
                <w:lang w:val="en-US" w:eastAsia="en-GB"/>
                <w14:ligatures w14:val="none"/>
              </w:rPr>
              <w:t xml:space="preserve"> de </w:t>
            </w:r>
            <w:proofErr w:type="spellStart"/>
            <w:r w:rsidRPr="00574714">
              <w:rPr>
                <w:rFonts w:ascii="Calibri" w:eastAsia="Times New Roman" w:hAnsi="Calibri" w:cs="Calibri"/>
                <w:i/>
                <w:iCs/>
                <w:kern w:val="0"/>
                <w:lang w:val="en-US" w:eastAsia="en-GB"/>
                <w14:ligatures w14:val="none"/>
              </w:rPr>
              <w:t>Escenarios</w:t>
            </w:r>
            <w:proofErr w:type="spellEnd"/>
            <w:r w:rsidRPr="00574714">
              <w:rPr>
                <w:rFonts w:ascii="Calibri" w:eastAsia="Times New Roman" w:hAnsi="Calibri" w:cs="Calibri"/>
                <w:kern w:val="0"/>
                <w:lang w:val="en-US" w:eastAsia="en-GB"/>
                <w14:ligatures w14:val="none"/>
              </w:rPr>
              <w:t>,"</w:t>
            </w:r>
            <w:proofErr w:type="gramStart"/>
            <w:r w:rsidRPr="00574714">
              <w:rPr>
                <w:rFonts w:ascii="Calibri" w:eastAsia="Times New Roman" w:hAnsi="Calibri" w:cs="Calibri"/>
                <w:kern w:val="0"/>
                <w:lang w:val="en-US" w:eastAsia="en-GB"/>
                <w14:ligatures w14:val="none"/>
              </w:rPr>
              <w:t>), and</w:t>
            </w:r>
            <w:proofErr w:type="gramEnd"/>
            <w:r w:rsidRPr="00574714">
              <w:rPr>
                <w:rFonts w:ascii="Calibri" w:eastAsia="Times New Roman" w:hAnsi="Calibri" w:cs="Calibri"/>
                <w:kern w:val="0"/>
                <w:lang w:val="en-US" w:eastAsia="en-GB"/>
                <w14:ligatures w14:val="none"/>
              </w:rPr>
              <w:t xml:space="preserve"> recommends the development of internal reporting and monitoring systems to track exposures and mitigation actions (Section 2.5, "</w:t>
            </w:r>
            <w:bookmarkStart w:id="42" w:name="_Hlk202879111"/>
            <w:proofErr w:type="spellStart"/>
            <w:r w:rsidRPr="00574714">
              <w:rPr>
                <w:rFonts w:ascii="Calibri" w:eastAsia="Times New Roman" w:hAnsi="Calibri" w:cs="Calibri"/>
                <w:i/>
                <w:iCs/>
                <w:kern w:val="0"/>
                <w:lang w:val="en-US" w:eastAsia="en-GB"/>
                <w14:ligatures w14:val="none"/>
              </w:rPr>
              <w:t>Monitoreo</w:t>
            </w:r>
            <w:proofErr w:type="spellEnd"/>
            <w:r w:rsidRPr="00574714">
              <w:rPr>
                <w:rFonts w:ascii="Calibri" w:eastAsia="Times New Roman" w:hAnsi="Calibri" w:cs="Calibri"/>
                <w:kern w:val="0"/>
                <w:lang w:val="en-US" w:eastAsia="en-GB"/>
                <w14:ligatures w14:val="none"/>
              </w:rPr>
              <w:t>,"</w:t>
            </w:r>
            <w:bookmarkEnd w:id="42"/>
            <w:r w:rsidRPr="00574714">
              <w:rPr>
                <w:rFonts w:ascii="Calibri" w:eastAsia="Times New Roman" w:hAnsi="Calibri" w:cs="Calibri"/>
                <w:kern w:val="0"/>
                <w:lang w:val="en-US" w:eastAsia="en-GB"/>
                <w14:ligatures w14:val="none"/>
              </w:rPr>
              <w:t>). This holistic approach ensures that the targeted entity systematically identifies, measures, monitors, and mitigates the financial impacts of climate-related risks across all relevant business activities.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BDC3C55" w:rsidR="008C4722" w:rsidRPr="00CF2E7C" w:rsidRDefault="00A547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5FA39BA6" w:rsidR="007B7DEE" w:rsidRPr="00CF2E7C" w:rsidRDefault="008D5D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F13787" w14:textId="6E5B9DE4" w:rsidR="00CB041A" w:rsidRDefault="008D5D3E" w:rsidP="00CF2E7C">
            <w:pPr>
              <w:textAlignment w:val="baseline"/>
              <w:rPr>
                <w:lang w:val="en-US"/>
              </w:rPr>
            </w:pPr>
            <w:r w:rsidRPr="002D3FB4">
              <w:rPr>
                <w:rFonts w:ascii="Calibri" w:hAnsi="Calibri" w:cs="Calibri"/>
              </w:rPr>
              <w:t xml:space="preserve">Colombian Green Taxonomy </w:t>
            </w:r>
            <w:r>
              <w:rPr>
                <w:rFonts w:ascii="Calibri" w:hAnsi="Calibri" w:cs="Calibri"/>
              </w:rPr>
              <w:t>(</w:t>
            </w:r>
            <w:r>
              <w:rPr>
                <w:lang w:val="en-US"/>
              </w:rPr>
              <w:t xml:space="preserve">available at the following </w:t>
            </w:r>
            <w:hyperlink r:id="rId18" w:history="1">
              <w:r w:rsidRPr="00124797">
                <w:rPr>
                  <w:rStyle w:val="Hyperlink"/>
                  <w:lang w:val="en-US"/>
                </w:rPr>
                <w:t>Web-archived link</w:t>
              </w:r>
            </w:hyperlink>
            <w:r>
              <w:rPr>
                <w:lang w:val="en-US"/>
              </w:rPr>
              <w:t>)</w:t>
            </w:r>
          </w:p>
          <w:p w14:paraId="42397B76" w14:textId="438917D9" w:rsidR="00CB041A" w:rsidRPr="00A43A19" w:rsidRDefault="00CB041A"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T</w:t>
            </w:r>
            <w:r w:rsidRPr="00CB041A">
              <w:rPr>
                <w:rFonts w:ascii="Calibri" w:eastAsia="Times New Roman" w:hAnsi="Calibri" w:cs="Calibri"/>
                <w:kern w:val="0"/>
                <w:lang w:val="en-US" w:eastAsia="en-GB"/>
                <w14:ligatures w14:val="none"/>
              </w:rPr>
              <w:t xml:space="preserve">he policy tool does incorporate the use of taxonomies to classify funds or assets directed towards </w:t>
            </w:r>
            <w:proofErr w:type="gramStart"/>
            <w:r w:rsidRPr="00CB041A">
              <w:rPr>
                <w:rFonts w:ascii="Calibri" w:eastAsia="Times New Roman" w:hAnsi="Calibri" w:cs="Calibri"/>
                <w:kern w:val="0"/>
                <w:lang w:val="en-US" w:eastAsia="en-GB"/>
                <w14:ligatures w14:val="none"/>
              </w:rPr>
              <w:t>environment-friendly</w:t>
            </w:r>
            <w:proofErr w:type="gramEnd"/>
            <w:r w:rsidRPr="00CB041A">
              <w:rPr>
                <w:rFonts w:ascii="Calibri" w:eastAsia="Times New Roman" w:hAnsi="Calibri" w:cs="Calibri"/>
                <w:kern w:val="0"/>
                <w:lang w:val="en-US" w:eastAsia="en-GB"/>
                <w14:ligatures w14:val="none"/>
              </w:rPr>
              <w:t>, low-carbon, or carbon-intensive activities. The policy tool references the "</w:t>
            </w:r>
            <w:proofErr w:type="spellStart"/>
            <w:r w:rsidRPr="00CB041A">
              <w:rPr>
                <w:rFonts w:ascii="Calibri" w:eastAsia="Times New Roman" w:hAnsi="Calibri" w:cs="Calibri"/>
                <w:kern w:val="0"/>
                <w:lang w:val="en-US" w:eastAsia="en-GB"/>
                <w14:ligatures w14:val="none"/>
              </w:rPr>
              <w:t>Taxonomía</w:t>
            </w:r>
            <w:proofErr w:type="spellEnd"/>
            <w:r w:rsidRPr="00CB041A">
              <w:rPr>
                <w:rFonts w:ascii="Calibri" w:eastAsia="Times New Roman" w:hAnsi="Calibri" w:cs="Calibri"/>
                <w:kern w:val="0"/>
                <w:lang w:val="en-US" w:eastAsia="en-GB"/>
                <w14:ligatures w14:val="none"/>
              </w:rPr>
              <w:t xml:space="preserve"> Verde de Colombia" as the relevant taxonomy for the Colombian context, which is a system for classifying economic activities and assets that make substantial contributions to environmental objectives, supporting the country’s environmental commitments and policies (see footnote 37). </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98F9DF6" w:rsidR="00ED7E12" w:rsidRPr="00CF2E7C" w:rsidRDefault="00BB6E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6B2729D6"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587CD646" w:rsidR="00ED7E12" w:rsidRPr="00CF2E7C" w:rsidRDefault="00BB6E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F452FA" w14:textId="297522FA" w:rsidR="00B914F7" w:rsidRDefault="00B914F7" w:rsidP="00B914F7">
            <w:pPr>
              <w:textAlignment w:val="baseline"/>
              <w:rPr>
                <w:rFonts w:ascii="Calibri" w:eastAsia="Times New Roman" w:hAnsi="Calibri" w:cs="Calibri"/>
                <w:kern w:val="0"/>
                <w:lang w:val="en-US" w:eastAsia="en-GB"/>
                <w14:ligatures w14:val="none"/>
              </w:rPr>
            </w:pPr>
            <w:r w:rsidRPr="00B914F7">
              <w:rPr>
                <w:rFonts w:ascii="Calibri" w:eastAsia="Times New Roman" w:hAnsi="Calibri" w:cs="Calibri"/>
                <w:kern w:val="0"/>
                <w:lang w:val="en-US" w:eastAsia="en-GB"/>
                <w14:ligatures w14:val="none"/>
              </w:rPr>
              <w:t xml:space="preserve">The policy tool monitors and verifies compliance with obligations imposed on regulated entities primarily through regulatory oversight by the </w:t>
            </w:r>
            <w:r w:rsidR="00DE7D03">
              <w:rPr>
                <w:rFonts w:ascii="Calibri" w:eastAsia="Times New Roman" w:hAnsi="Calibri" w:cs="Calibri"/>
                <w:kern w:val="0"/>
                <w:lang w:val="en-US" w:eastAsia="en-GB"/>
                <w14:ligatures w14:val="none"/>
              </w:rPr>
              <w:t>SFC</w:t>
            </w:r>
            <w:r w:rsidRPr="00B914F7">
              <w:rPr>
                <w:rFonts w:ascii="Calibri" w:eastAsia="Times New Roman" w:hAnsi="Calibri" w:cs="Calibri"/>
                <w:kern w:val="0"/>
                <w:lang w:val="en-US" w:eastAsia="en-GB"/>
                <w14:ligatures w14:val="none"/>
              </w:rPr>
              <w:t>, as detailed in the "</w:t>
            </w:r>
            <w:proofErr w:type="spellStart"/>
            <w:r w:rsidRPr="00B914F7">
              <w:rPr>
                <w:rFonts w:ascii="Calibri" w:eastAsia="Times New Roman" w:hAnsi="Calibri" w:cs="Calibri"/>
                <w:kern w:val="0"/>
                <w:lang w:val="en-US" w:eastAsia="en-GB"/>
                <w14:ligatures w14:val="none"/>
              </w:rPr>
              <w:t>Implementación</w:t>
            </w:r>
            <w:proofErr w:type="spellEnd"/>
            <w:r w:rsidRPr="00B914F7">
              <w:rPr>
                <w:rFonts w:ascii="Calibri" w:eastAsia="Times New Roman" w:hAnsi="Calibri" w:cs="Calibri"/>
                <w:kern w:val="0"/>
                <w:lang w:val="en-US" w:eastAsia="en-GB"/>
                <w14:ligatures w14:val="none"/>
              </w:rPr>
              <w:t>" section and "</w:t>
            </w:r>
            <w:proofErr w:type="spellStart"/>
            <w:r w:rsidRPr="00B914F7">
              <w:rPr>
                <w:rFonts w:ascii="Calibri" w:eastAsia="Times New Roman" w:hAnsi="Calibri" w:cs="Calibri"/>
                <w:kern w:val="0"/>
                <w:lang w:val="en-US" w:eastAsia="en-GB"/>
                <w14:ligatures w14:val="none"/>
              </w:rPr>
              <w:t>Alcance</w:t>
            </w:r>
            <w:proofErr w:type="spellEnd"/>
            <w:r w:rsidRPr="00B914F7">
              <w:rPr>
                <w:rFonts w:ascii="Calibri" w:eastAsia="Times New Roman" w:hAnsi="Calibri" w:cs="Calibri"/>
                <w:kern w:val="0"/>
                <w:lang w:val="en-US" w:eastAsia="en-GB"/>
                <w14:ligatures w14:val="none"/>
              </w:rPr>
              <w:t xml:space="preserve"> de </w:t>
            </w:r>
            <w:proofErr w:type="spellStart"/>
            <w:r w:rsidRPr="00B914F7">
              <w:rPr>
                <w:rFonts w:ascii="Calibri" w:eastAsia="Times New Roman" w:hAnsi="Calibri" w:cs="Calibri"/>
                <w:kern w:val="0"/>
                <w:lang w:val="en-US" w:eastAsia="en-GB"/>
                <w14:ligatures w14:val="none"/>
              </w:rPr>
              <w:t>supervisión</w:t>
            </w:r>
            <w:proofErr w:type="spellEnd"/>
            <w:r w:rsidRPr="00B914F7">
              <w:rPr>
                <w:rFonts w:ascii="Calibri" w:eastAsia="Times New Roman" w:hAnsi="Calibri" w:cs="Calibri"/>
                <w:kern w:val="0"/>
                <w:lang w:val="en-US" w:eastAsia="en-GB"/>
                <w14:ligatures w14:val="none"/>
              </w:rPr>
              <w:t xml:space="preserve">". The document states that the outlined principles will be used in supervisory dialogues with insurance companies to promote the integration of climate risk management, and that the gradual incorporation of climate-related risks into the supervisory framework (Marco Integral de </w:t>
            </w:r>
            <w:proofErr w:type="spellStart"/>
            <w:r w:rsidRPr="00B914F7">
              <w:rPr>
                <w:rFonts w:ascii="Calibri" w:eastAsia="Times New Roman" w:hAnsi="Calibri" w:cs="Calibri"/>
                <w:kern w:val="0"/>
                <w:lang w:val="en-US" w:eastAsia="en-GB"/>
                <w14:ligatures w14:val="none"/>
              </w:rPr>
              <w:t>Supervisión</w:t>
            </w:r>
            <w:proofErr w:type="spellEnd"/>
            <w:r w:rsidRPr="00B914F7">
              <w:rPr>
                <w:rFonts w:ascii="Calibri" w:eastAsia="Times New Roman" w:hAnsi="Calibri" w:cs="Calibri"/>
                <w:kern w:val="0"/>
                <w:lang w:val="en-US" w:eastAsia="en-GB"/>
                <w14:ligatures w14:val="none"/>
              </w:rPr>
              <w:t xml:space="preserve">, MIS) is planned. </w:t>
            </w:r>
          </w:p>
          <w:p w14:paraId="1B4581E1" w14:textId="75EA5D49" w:rsidR="00B914F7" w:rsidRPr="00B914F7" w:rsidRDefault="00B914F7" w:rsidP="00B914F7">
            <w:pPr>
              <w:textAlignment w:val="baseline"/>
              <w:rPr>
                <w:rFonts w:ascii="Calibri" w:eastAsia="Times New Roman" w:hAnsi="Calibri" w:cs="Calibri"/>
                <w:kern w:val="0"/>
                <w:lang w:val="en-US" w:eastAsia="en-GB"/>
                <w14:ligatures w14:val="none"/>
              </w:rPr>
            </w:pPr>
            <w:r w:rsidRPr="00B914F7">
              <w:rPr>
                <w:rFonts w:ascii="Calibri" w:eastAsia="Times New Roman" w:hAnsi="Calibri" w:cs="Calibri"/>
                <w:kern w:val="0"/>
                <w:lang w:val="en-US" w:eastAsia="en-GB"/>
                <w14:ligatures w14:val="none"/>
              </w:rPr>
              <w:t xml:space="preserve">Additionally, the policy tool encourages self-reporting by targeted entities: companies are expected to establish internal reporting schemes on their material exposures to climate risk and to disclose relevant information both internally and to the market (see Section 1.5, and </w:t>
            </w:r>
            <w:r w:rsidRPr="00B914F7">
              <w:rPr>
                <w:rFonts w:ascii="Calibri" w:eastAsia="Times New Roman" w:hAnsi="Calibri" w:cs="Calibri"/>
                <w:kern w:val="0"/>
                <w:lang w:val="en-US" w:eastAsia="en-GB"/>
                <w14:ligatures w14:val="none"/>
              </w:rPr>
              <w:lastRenderedPageBreak/>
              <w:t>Section 3, "</w:t>
            </w:r>
            <w:proofErr w:type="spellStart"/>
            <w:r w:rsidRPr="00B914F7">
              <w:rPr>
                <w:rFonts w:ascii="Calibri" w:eastAsia="Times New Roman" w:hAnsi="Calibri" w:cs="Calibri"/>
                <w:kern w:val="0"/>
                <w:lang w:val="en-US" w:eastAsia="en-GB"/>
                <w14:ligatures w14:val="none"/>
              </w:rPr>
              <w:t>Revelación</w:t>
            </w:r>
            <w:proofErr w:type="spellEnd"/>
            <w:r w:rsidRPr="00B914F7">
              <w:rPr>
                <w:rFonts w:ascii="Calibri" w:eastAsia="Times New Roman" w:hAnsi="Calibri" w:cs="Calibri"/>
                <w:kern w:val="0"/>
                <w:lang w:val="en-US" w:eastAsia="en-GB"/>
                <w14:ligatures w14:val="none"/>
              </w:rPr>
              <w:t xml:space="preserve"> de </w:t>
            </w:r>
            <w:proofErr w:type="spellStart"/>
            <w:r w:rsidRPr="00B914F7">
              <w:rPr>
                <w:rFonts w:ascii="Calibri" w:eastAsia="Times New Roman" w:hAnsi="Calibri" w:cs="Calibri"/>
                <w:kern w:val="0"/>
                <w:lang w:val="en-US" w:eastAsia="en-GB"/>
                <w14:ligatures w14:val="none"/>
              </w:rPr>
              <w:t>información</w:t>
            </w:r>
            <w:proofErr w:type="spellEnd"/>
            <w:r w:rsidRPr="00B914F7">
              <w:rPr>
                <w:rFonts w:ascii="Calibri" w:eastAsia="Times New Roman" w:hAnsi="Calibri" w:cs="Calibri"/>
                <w:kern w:val="0"/>
                <w:lang w:val="en-US" w:eastAsia="en-GB"/>
                <w14:ligatures w14:val="none"/>
              </w:rPr>
              <w:t>"). There is no explicit requirement for third-party verification or other specific mechanisms. Thus, compliance is monitored through a combination of supervisory engagement and self-reporting by the regulated entities.</w:t>
            </w:r>
          </w:p>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5A03DB2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3652">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AA3CE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3652">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60FB92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3652">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2E426D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3652">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457F95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3652">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9348D0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D3652">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48046B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85515">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7876387F" w:rsidR="00C82860" w:rsidRPr="00CF2E7C" w:rsidRDefault="007D6C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77D24882" w:rsidR="00C82860" w:rsidRPr="00CF2E7C" w:rsidRDefault="007D6C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7D6C71">
              <w:rPr>
                <w:rFonts w:ascii="Calibri" w:eastAsia="Times New Roman" w:hAnsi="Calibri" w:cs="Calibri"/>
                <w:kern w:val="0"/>
                <w:lang w:eastAsia="en-GB"/>
                <w14:ligatures w14:val="none"/>
              </w:rPr>
              <w:t xml:space="preserve">he </w:t>
            </w:r>
            <w:r>
              <w:rPr>
                <w:rFonts w:ascii="Calibri" w:eastAsia="Times New Roman" w:hAnsi="Calibri" w:cs="Calibri"/>
                <w:kern w:val="0"/>
                <w:lang w:eastAsia="en-GB"/>
                <w14:ligatures w14:val="none"/>
              </w:rPr>
              <w:t>policy tool</w:t>
            </w:r>
            <w:r w:rsidRPr="007D6C71">
              <w:rPr>
                <w:rFonts w:ascii="Calibri" w:eastAsia="Times New Roman" w:hAnsi="Calibri" w:cs="Calibri"/>
                <w:kern w:val="0"/>
                <w:lang w:eastAsia="en-GB"/>
                <w14:ligatures w14:val="none"/>
              </w:rPr>
              <w:t xml:space="preserve"> encourages insurance companies to disclose information on their climate risk management and governance practices, aligning with international frameworks such as the TCFD, but clarifies that these expectations are not binding (see Section II.3, p. 33; Implementation, p. 6). It specifically recommends annual disclosure of material climate-related information, including procedures for identifying material climate information, the material issues identified, and justifications for their assessment (Section II.3.2, p. 33). However, it does not establish a legal or regulatory obligation to disclose, instead presenting these as best practices to be voluntarily adopted by the industry.</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3052E9B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3A372F98" w:rsidR="00C82860" w:rsidRPr="00CF2E7C" w:rsidRDefault="00F027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5FF0B4BF" w:rsidR="007D6C71" w:rsidRPr="00CF2E7C" w:rsidRDefault="007D6C71" w:rsidP="007D6C71">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0A926A7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24E5D">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2E0A5C80"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24E5D">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5E8B601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24E5D">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23F2E23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24E5D">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6CAB8C1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85515">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DD6BEE3" w14:textId="50636A91" w:rsidR="00DE7D03" w:rsidRDefault="00DE7D03" w:rsidP="00DE7D03">
            <w:pPr>
              <w:jc w:val="both"/>
              <w:textAlignment w:val="baseline"/>
              <w:rPr>
                <w:rFonts w:ascii="Calibri" w:eastAsia="Times New Roman" w:hAnsi="Calibri" w:cs="Calibri"/>
                <w:kern w:val="0"/>
                <w:lang w:eastAsia="en-GB"/>
                <w14:ligatures w14:val="none"/>
              </w:rPr>
            </w:pPr>
            <w:r w:rsidRPr="00DE7D03">
              <w:rPr>
                <w:rFonts w:ascii="Calibri" w:eastAsia="Times New Roman" w:hAnsi="Calibri" w:cs="Calibri"/>
                <w:kern w:val="0"/>
                <w:lang w:eastAsia="en-GB"/>
                <w14:ligatures w14:val="none"/>
              </w:rPr>
              <w:t xml:space="preserve">The policy tool recommends that insurance companies use both qualitative and quantitative metrics to monitor and assess portfolio exposures to higher climate physical and transition risks. Specifically, Section 2.5.2 encourages insurers to track the development of their business strategy and risk appetite alignment through indicators, thresholds, and specific quantitative results related to climate risk exposures. </w:t>
            </w:r>
          </w:p>
          <w:p w14:paraId="593BA361" w14:textId="2BC930FA" w:rsidR="00C82860" w:rsidRPr="00CF2E7C" w:rsidRDefault="00DE7D03" w:rsidP="00DE7D03">
            <w:pPr>
              <w:jc w:val="both"/>
              <w:textAlignment w:val="baseline"/>
              <w:rPr>
                <w:rFonts w:ascii="Calibri" w:eastAsia="Times New Roman" w:hAnsi="Calibri" w:cs="Calibri"/>
                <w:kern w:val="0"/>
                <w:lang w:eastAsia="en-GB"/>
                <w14:ligatures w14:val="none"/>
              </w:rPr>
            </w:pPr>
            <w:r w:rsidRPr="00DE7D03">
              <w:rPr>
                <w:rFonts w:ascii="Calibri" w:eastAsia="Times New Roman" w:hAnsi="Calibri" w:cs="Calibri"/>
                <w:kern w:val="0"/>
                <w:lang w:eastAsia="en-GB"/>
                <w14:ligatures w14:val="none"/>
              </w:rPr>
              <w:t>The document provides examples of such metrics in Section 2.5.2 (</w:t>
            </w:r>
            <w:r>
              <w:rPr>
                <w:rFonts w:ascii="Calibri" w:eastAsia="Times New Roman" w:hAnsi="Calibri" w:cs="Calibri"/>
                <w:kern w:val="0"/>
                <w:lang w:eastAsia="en-GB"/>
                <w14:ligatures w14:val="none"/>
              </w:rPr>
              <w:t>footnote</w:t>
            </w:r>
            <w:r w:rsidRPr="00DE7D03">
              <w:rPr>
                <w:rFonts w:ascii="Calibri" w:eastAsia="Times New Roman" w:hAnsi="Calibri" w:cs="Calibri"/>
                <w:kern w:val="0"/>
                <w:lang w:eastAsia="en-GB"/>
                <w14:ligatures w14:val="none"/>
              </w:rPr>
              <w:t xml:space="preserve">. 33-34), including the percentage of the investment portfolio exposed to properties at risk of climate-related flooding, the share of the portfolio invested in carbon-intensive companies lacking credible transition plans, and the probable maximum loss for certain natural hazards. These metrics are intended to support regular monitoring and continuous learning regarding the effectiveness of climate risk management. The </w:t>
            </w:r>
            <w:r w:rsidR="00C13A26">
              <w:rPr>
                <w:rFonts w:ascii="Calibri" w:eastAsia="Times New Roman" w:hAnsi="Calibri" w:cs="Calibri"/>
                <w:kern w:val="0"/>
                <w:lang w:eastAsia="en-GB"/>
                <w14:ligatures w14:val="none"/>
              </w:rPr>
              <w:t>guidanc</w:t>
            </w:r>
            <w:r w:rsidRPr="00DE7D03">
              <w:rPr>
                <w:rFonts w:ascii="Calibri" w:eastAsia="Times New Roman" w:hAnsi="Calibri" w:cs="Calibri"/>
                <w:kern w:val="0"/>
                <w:lang w:eastAsia="en-GB"/>
                <w14:ligatures w14:val="none"/>
              </w:rPr>
              <w:t>e emphasizes that the selection and use of metrics should be proportional to the insurer’s size, business mix, and operational complexity, and should be regularly reviewed and updated as part of the risk management process.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57EEA93E" w:rsidR="00655FF7" w:rsidRPr="00CF2E7C" w:rsidRDefault="00C13A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7377A655" w:rsidR="003032A9" w:rsidRPr="00CF2E7C" w:rsidRDefault="00C13A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512F0210" w:rsidR="003D5104" w:rsidRPr="00CF2E7C" w:rsidRDefault="00CF79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80DB5C8" w:rsidR="003D5104" w:rsidRPr="00CF2E7C" w:rsidRDefault="00C13A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136F0245" w:rsidR="003D5104" w:rsidRPr="00CF2E7C" w:rsidRDefault="00CF79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08195A25" w:rsidR="00CF799E" w:rsidRPr="00CF2E7C" w:rsidRDefault="00FF716C" w:rsidP="00CF799E">
            <w:pPr>
              <w:textAlignment w:val="baseline"/>
              <w:rPr>
                <w:rFonts w:ascii="Calibri" w:eastAsia="Times New Roman" w:hAnsi="Calibri" w:cs="Calibri"/>
                <w:kern w:val="0"/>
                <w:lang w:eastAsia="en-GB"/>
                <w14:ligatures w14:val="none"/>
              </w:rPr>
            </w:pPr>
            <w:r w:rsidRPr="00FF716C">
              <w:rPr>
                <w:rFonts w:ascii="Calibri" w:eastAsia="Times New Roman" w:hAnsi="Calibri" w:cs="Calibri"/>
                <w:kern w:val="0"/>
                <w:lang w:eastAsia="en-GB"/>
                <w14:ligatures w14:val="none"/>
              </w:rPr>
              <w:t>According to Section II.2.4 (</w:t>
            </w:r>
            <w:proofErr w:type="spellStart"/>
            <w:r w:rsidRPr="00FF716C">
              <w:rPr>
                <w:rFonts w:ascii="Calibri" w:eastAsia="Times New Roman" w:hAnsi="Calibri" w:cs="Calibri"/>
                <w:kern w:val="0"/>
                <w:lang w:eastAsia="en-GB"/>
                <w14:ligatures w14:val="none"/>
              </w:rPr>
              <w:t>Análisis</w:t>
            </w:r>
            <w:proofErr w:type="spellEnd"/>
            <w:r w:rsidRPr="00FF716C">
              <w:rPr>
                <w:rFonts w:ascii="Calibri" w:eastAsia="Times New Roman" w:hAnsi="Calibri" w:cs="Calibri"/>
                <w:kern w:val="0"/>
                <w:lang w:eastAsia="en-GB"/>
                <w14:ligatures w14:val="none"/>
              </w:rPr>
              <w:t xml:space="preserve"> de </w:t>
            </w:r>
            <w:proofErr w:type="spellStart"/>
            <w:r w:rsidRPr="00FF716C">
              <w:rPr>
                <w:rFonts w:ascii="Calibri" w:eastAsia="Times New Roman" w:hAnsi="Calibri" w:cs="Calibri"/>
                <w:kern w:val="0"/>
                <w:lang w:eastAsia="en-GB"/>
                <w14:ligatures w14:val="none"/>
              </w:rPr>
              <w:t>Escenarios</w:t>
            </w:r>
            <w:proofErr w:type="spellEnd"/>
            <w:r w:rsidRPr="00FF716C">
              <w:rPr>
                <w:rFonts w:ascii="Calibri" w:eastAsia="Times New Roman" w:hAnsi="Calibri" w:cs="Calibri"/>
                <w:kern w:val="0"/>
                <w:lang w:eastAsia="en-GB"/>
                <w14:ligatures w14:val="none"/>
              </w:rPr>
              <w:t>) of the document, the implementation of scenario analysis is encouraged for insurance companies, but its application is to be proportional to the size, complexity, and business model of each insurer. The document states that methodologies can range from qualitative to more advanced quantitative techniques, and that the use of these tools should be determined by the materiality of exposures and concentrations of risk. However, there is no explicit threshold (such as asset size, premium volume, or other quantitative criteria) defined in the policy tool that triggers a mandatory requirement for scenario analysis or stress-testing.</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3AF871DA" w:rsidR="00BE1F9E" w:rsidRPr="00CF2E7C" w:rsidRDefault="00FF716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68347F00" w:rsidR="00BE1F9E" w:rsidRPr="00CF2E7C" w:rsidRDefault="00FF716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40F915CA"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F716C">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2E02D0B" w14:textId="39B118CC" w:rsidR="00B9136F" w:rsidRPr="00B9136F" w:rsidRDefault="00B9136F" w:rsidP="00B9136F">
            <w:pPr>
              <w:textAlignment w:val="baseline"/>
              <w:rPr>
                <w:rFonts w:ascii="Calibri" w:eastAsia="Times New Roman" w:hAnsi="Calibri" w:cs="Calibri"/>
                <w:kern w:val="0"/>
                <w:lang w:val="en-US" w:eastAsia="en-GB"/>
                <w14:ligatures w14:val="none"/>
              </w:rPr>
            </w:pPr>
            <w:r w:rsidRPr="00B9136F">
              <w:rPr>
                <w:rFonts w:ascii="Calibri" w:eastAsia="Times New Roman" w:hAnsi="Calibri" w:cs="Calibri"/>
                <w:kern w:val="0"/>
                <w:lang w:val="en-US" w:eastAsia="en-GB"/>
                <w14:ligatures w14:val="none"/>
              </w:rPr>
              <w:t>According to the policy tool (see Section II.2.4), the process of selecting scenarios for stress-testing or scenario analysis is designed to be both flexible and robust, allowing insurance companies to use a combination of internally developed and externally sourced scenarios. Insurers are encouraged to construct their own scenarios tailored to their business model, risk profile, and exposures, ensuring these scenarios are plausible, distinctive, consistent, relevant, and challenging. At the same time, the policy tool recommends leveraging standardized scenarios developed by national authorities—such as IDEAM for physical climate risks and Colombia’s NDCs for transition risks—as well as internationally recognized frameworks, including those from the IPCC, NGFS, and IEA (Section II.2.4</w:t>
            </w:r>
            <w:r w:rsidR="00377FDE">
              <w:rPr>
                <w:rFonts w:ascii="Calibri" w:eastAsia="Times New Roman" w:hAnsi="Calibri" w:cs="Calibri"/>
                <w:kern w:val="0"/>
                <w:lang w:val="en-US" w:eastAsia="en-GB"/>
                <w14:ligatures w14:val="none"/>
              </w:rPr>
              <w:t>)</w:t>
            </w:r>
            <w:r w:rsidRPr="00B9136F">
              <w:rPr>
                <w:rFonts w:ascii="Calibri" w:eastAsia="Times New Roman" w:hAnsi="Calibri" w:cs="Calibri"/>
                <w:kern w:val="0"/>
                <w:lang w:val="en-US" w:eastAsia="en-GB"/>
                <w14:ligatures w14:val="none"/>
              </w:rPr>
              <w:t>. The approach is intended to be proportional to the size, complexity, and materiality of the risks faced by each insurer, and the use of both qualitative and quantitative methodologies is supported, with the expectation that scenario analysis will evolve in sophistication as more data and scientific knowledge become available.</w:t>
            </w:r>
          </w:p>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5A11279E" w:rsidR="00DC31BF" w:rsidRPr="00CF2E7C" w:rsidRDefault="00377F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640B7752" w:rsidR="0098226E" w:rsidRPr="00CF2E7C" w:rsidRDefault="00FF716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37219E5" w:rsidR="00F10A6E" w:rsidRPr="00CF2E7C" w:rsidRDefault="00377F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256870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32B6140D" w:rsidR="00F26296" w:rsidRPr="00CF2E7C" w:rsidRDefault="007149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19ACCCF1" w:rsidR="00F26296" w:rsidRPr="00CF2E7C" w:rsidRDefault="00377F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3703E62" w14:textId="77777777" w:rsidR="0078624F" w:rsidRDefault="0078624F" w:rsidP="0078624F">
            <w:pPr>
              <w:textAlignment w:val="baseline"/>
              <w:rPr>
                <w:rFonts w:ascii="Calibri" w:eastAsia="Times New Roman" w:hAnsi="Calibri" w:cs="Calibri"/>
                <w:kern w:val="0"/>
                <w:lang w:val="en-US" w:eastAsia="en-GB"/>
                <w14:ligatures w14:val="none"/>
              </w:rPr>
            </w:pPr>
            <w:r w:rsidRPr="0078624F">
              <w:rPr>
                <w:rFonts w:ascii="Calibri" w:eastAsia="Times New Roman" w:hAnsi="Calibri" w:cs="Calibri"/>
                <w:kern w:val="0"/>
                <w:lang w:val="en-US" w:eastAsia="en-GB"/>
                <w14:ligatures w14:val="none"/>
              </w:rPr>
              <w:t>According to the policy tool, the results of stress-testing and scenario analysis exercises are intended to inform and support the strategic planning, business management, and risk management policies and practices of insurance companies. Specifically, Section 2.4 "</w:t>
            </w:r>
            <w:proofErr w:type="spellStart"/>
            <w:r w:rsidRPr="0078624F">
              <w:rPr>
                <w:rFonts w:ascii="Calibri" w:eastAsia="Times New Roman" w:hAnsi="Calibri" w:cs="Calibri"/>
                <w:kern w:val="0"/>
                <w:lang w:val="en-US" w:eastAsia="en-GB"/>
                <w14:ligatures w14:val="none"/>
              </w:rPr>
              <w:t>Análisis</w:t>
            </w:r>
            <w:proofErr w:type="spellEnd"/>
            <w:r w:rsidRPr="0078624F">
              <w:rPr>
                <w:rFonts w:ascii="Calibri" w:eastAsia="Times New Roman" w:hAnsi="Calibri" w:cs="Calibri"/>
                <w:kern w:val="0"/>
                <w:lang w:val="en-US" w:eastAsia="en-GB"/>
                <w14:ligatures w14:val="none"/>
              </w:rPr>
              <w:t xml:space="preserve"> de </w:t>
            </w:r>
            <w:proofErr w:type="spellStart"/>
            <w:r w:rsidRPr="0078624F">
              <w:rPr>
                <w:rFonts w:ascii="Calibri" w:eastAsia="Times New Roman" w:hAnsi="Calibri" w:cs="Calibri"/>
                <w:kern w:val="0"/>
                <w:lang w:val="en-US" w:eastAsia="en-GB"/>
                <w14:ligatures w14:val="none"/>
              </w:rPr>
              <w:t>Escenarios</w:t>
            </w:r>
            <w:proofErr w:type="spellEnd"/>
            <w:r w:rsidRPr="0078624F">
              <w:rPr>
                <w:rFonts w:ascii="Calibri" w:eastAsia="Times New Roman" w:hAnsi="Calibri" w:cs="Calibri"/>
                <w:kern w:val="0"/>
                <w:lang w:val="en-US" w:eastAsia="en-GB"/>
                <w14:ligatures w14:val="none"/>
              </w:rPr>
              <w:t xml:space="preserve">" (Scenario Analysis) states that these exercises should be used to explore the resilience and vulnerability of the insurance business to various climate-related outcomes, generating inputs for strategic planning and risk management (2.4.1). </w:t>
            </w:r>
          </w:p>
          <w:p w14:paraId="20D442E0" w14:textId="2FD6831A" w:rsidR="0078624F" w:rsidRPr="0078624F" w:rsidRDefault="0078624F" w:rsidP="0078624F">
            <w:pPr>
              <w:textAlignment w:val="baseline"/>
              <w:rPr>
                <w:rFonts w:ascii="Calibri" w:eastAsia="Times New Roman" w:hAnsi="Calibri" w:cs="Calibri"/>
                <w:kern w:val="0"/>
                <w:lang w:val="en-US" w:eastAsia="en-GB"/>
                <w14:ligatures w14:val="none"/>
              </w:rPr>
            </w:pPr>
            <w:r w:rsidRPr="0078624F">
              <w:rPr>
                <w:rFonts w:ascii="Calibri" w:eastAsia="Times New Roman" w:hAnsi="Calibri" w:cs="Calibri"/>
                <w:kern w:val="0"/>
                <w:lang w:val="en-US" w:eastAsia="en-GB"/>
                <w14:ligatures w14:val="none"/>
              </w:rPr>
              <w:t>Furthermore, Section 2.4.3 highlights that insurers implementing best practices may use the results of scenario analysis and stress-testing to understand the effects of climate-related risks on profitability, liquidity, and capital, as well as on the calculation of reserves and pricing. The document emphasizes that these results are not merely for data collection but are expected to have practical implications for decision-making and the ongoing management of climate risks (Sections 2.4.1–2.4.4).</w:t>
            </w:r>
          </w:p>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1DB2A07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8624F">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68C307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8624F">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157AA90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03FEAE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F2CD16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0B79DC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3F231A6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9E2287A" w:rsidR="00702413" w:rsidRPr="009C4D10" w:rsidRDefault="00E6798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0BFDC5B" w:rsidR="00702413" w:rsidRPr="009C4D10" w:rsidRDefault="003601C5" w:rsidP="00CF2E7C">
            <w:pPr>
              <w:textAlignment w:val="baseline"/>
              <w:rPr>
                <w:rFonts w:eastAsia="Times New Roman" w:cstheme="minorHAnsi"/>
                <w:kern w:val="0"/>
                <w:lang w:eastAsia="en-GB"/>
                <w14:ligatures w14:val="none"/>
              </w:rPr>
            </w:pPr>
            <w:r w:rsidRPr="003601C5">
              <w:rPr>
                <w:rFonts w:eastAsia="Times New Roman" w:cstheme="minorHAnsi"/>
                <w:kern w:val="0"/>
                <w:lang w:eastAsia="en-GB"/>
                <w14:ligatures w14:val="none"/>
              </w:rPr>
              <w:t xml:space="preserve">Key barriers to implementing the prudential policy tool for climate-related financial risk management, as outlined in the document from the </w:t>
            </w:r>
            <w:proofErr w:type="spellStart"/>
            <w:r w:rsidRPr="003601C5">
              <w:rPr>
                <w:rFonts w:eastAsia="Times New Roman" w:cstheme="minorHAnsi"/>
                <w:kern w:val="0"/>
                <w:lang w:eastAsia="en-GB"/>
                <w14:ligatures w14:val="none"/>
              </w:rPr>
              <w:t>Superintendencia</w:t>
            </w:r>
            <w:proofErr w:type="spellEnd"/>
            <w:r w:rsidRPr="003601C5">
              <w:rPr>
                <w:rFonts w:eastAsia="Times New Roman" w:cstheme="minorHAnsi"/>
                <w:kern w:val="0"/>
                <w:lang w:eastAsia="en-GB"/>
                <w14:ligatures w14:val="none"/>
              </w:rPr>
              <w:t xml:space="preserve"> Financiera de Colombia, include significant gaps in data availability, quality, and granularity, which hinder the accurate identification, measurement, and monitoring of climate risks. There are also challenges related to the lack of technical knowledge and expertise within insurance companies, particularly in developing and applying forward-looking methodologies such as scenario analysis and stress testing, given the non-linear, uncertain, and complex nature of climate risks. Additionally, the historical data often used for risk </w:t>
            </w:r>
            <w:proofErr w:type="spellStart"/>
            <w:r w:rsidRPr="003601C5">
              <w:rPr>
                <w:rFonts w:eastAsia="Times New Roman" w:cstheme="minorHAnsi"/>
                <w:kern w:val="0"/>
                <w:lang w:eastAsia="en-GB"/>
                <w14:ligatures w14:val="none"/>
              </w:rPr>
              <w:t>modeling</w:t>
            </w:r>
            <w:proofErr w:type="spellEnd"/>
            <w:r w:rsidRPr="003601C5">
              <w:rPr>
                <w:rFonts w:eastAsia="Times New Roman" w:cstheme="minorHAnsi"/>
                <w:kern w:val="0"/>
                <w:lang w:eastAsia="en-GB"/>
                <w14:ligatures w14:val="none"/>
              </w:rPr>
              <w:t xml:space="preserve"> may be insufficient for predicting future climate impacts, necessitating the development of new, more sophisticated models. The document also highlights the need for gradual and proportional implementation, recognizing differences in companies’ exposure, business complexity, and current integration of climate risk considerations, which can slow industry-wide adoption. Finally, the reliance on third-party data and models, especially from reinsurers, can create dependencies and further complicate the internalization of robust climate risk management practices.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lastRenderedPageBreak/>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B758944" w:rsidR="00FE0EA5" w:rsidRPr="009C4D10" w:rsidRDefault="00FE0EA5" w:rsidP="00CF2E7C">
            <w:pPr>
              <w:rPr>
                <w:rFonts w:cstheme="minorHAnsi"/>
              </w:rPr>
            </w:pPr>
            <w:r w:rsidRPr="009C4D10">
              <w:rPr>
                <w:rFonts w:cstheme="minorHAnsi"/>
                <w:lang w:val="en-SG"/>
              </w:rPr>
              <w:t> </w:t>
            </w:r>
            <w:r w:rsidRPr="009C4D10">
              <w:rPr>
                <w:rFonts w:cstheme="minorHAnsi"/>
              </w:rPr>
              <w:t> </w:t>
            </w:r>
            <w:r w:rsidR="003601C5">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271FD95C" w:rsidR="00FE0EA5" w:rsidRPr="009C4D10" w:rsidRDefault="00FE0EA5" w:rsidP="00CF2E7C">
            <w:pPr>
              <w:rPr>
                <w:rFonts w:cstheme="minorHAnsi"/>
              </w:rPr>
            </w:pPr>
            <w:r w:rsidRPr="009C4D10">
              <w:rPr>
                <w:rFonts w:cstheme="minorHAnsi"/>
                <w:lang w:val="en-SG"/>
              </w:rPr>
              <w:t> </w:t>
            </w:r>
            <w:r w:rsidRPr="009C4D10">
              <w:rPr>
                <w:rFonts w:cstheme="minorHAnsi"/>
              </w:rPr>
              <w:t> </w:t>
            </w:r>
            <w:r w:rsidR="003601C5">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BE2683B" w:rsidR="00FE0EA5" w:rsidRPr="009C4D10" w:rsidRDefault="00FE0EA5" w:rsidP="00CF2E7C">
            <w:pPr>
              <w:rPr>
                <w:rFonts w:cstheme="minorHAnsi"/>
              </w:rPr>
            </w:pPr>
            <w:r w:rsidRPr="009C4D10">
              <w:rPr>
                <w:rFonts w:cstheme="minorHAnsi"/>
                <w:lang w:val="en-SG"/>
              </w:rPr>
              <w:t> </w:t>
            </w:r>
            <w:r w:rsidRPr="009C4D10">
              <w:rPr>
                <w:rFonts w:cstheme="minorHAnsi"/>
              </w:rPr>
              <w:t> </w:t>
            </w:r>
            <w:r w:rsidR="003601C5">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7C54FB1" w:rsidR="00FE0EA5" w:rsidRPr="009C4D10" w:rsidRDefault="00FE0EA5" w:rsidP="00CF2E7C">
            <w:pPr>
              <w:rPr>
                <w:rFonts w:cstheme="minorHAnsi"/>
              </w:rPr>
            </w:pPr>
            <w:r w:rsidRPr="009C4D10">
              <w:rPr>
                <w:rFonts w:cstheme="minorHAnsi"/>
                <w:lang w:val="en-SG"/>
              </w:rPr>
              <w:t> </w:t>
            </w:r>
            <w:r w:rsidRPr="009C4D10">
              <w:rPr>
                <w:rFonts w:cstheme="minorHAnsi"/>
              </w:rPr>
              <w:t> </w:t>
            </w:r>
            <w:r w:rsidR="003601C5">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378EEBE1" w:rsidR="00FE0EA5" w:rsidRPr="009C4D10" w:rsidRDefault="00FE0EA5" w:rsidP="00CF2E7C">
            <w:pPr>
              <w:rPr>
                <w:rFonts w:cstheme="minorHAnsi"/>
              </w:rPr>
            </w:pPr>
            <w:r w:rsidRPr="009C4D10">
              <w:rPr>
                <w:rFonts w:cstheme="minorHAnsi"/>
                <w:lang w:val="en-SG"/>
              </w:rPr>
              <w:t> </w:t>
            </w:r>
            <w:r w:rsidRPr="009C4D10">
              <w:rPr>
                <w:rFonts w:cstheme="minorHAnsi"/>
              </w:rPr>
              <w:t> </w:t>
            </w:r>
            <w:r w:rsidR="003601C5">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0FBE185" w:rsidR="00FE0EA5" w:rsidRPr="009C4D10" w:rsidRDefault="00FE0EA5" w:rsidP="00CF2E7C">
            <w:pPr>
              <w:rPr>
                <w:rFonts w:cstheme="minorHAnsi"/>
              </w:rPr>
            </w:pPr>
            <w:r w:rsidRPr="009C4D10">
              <w:rPr>
                <w:rFonts w:cstheme="minorHAnsi"/>
              </w:rPr>
              <w:t>  </w:t>
            </w:r>
            <w:r w:rsidR="003601C5">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55695A44" w:rsidR="00FE0EA5" w:rsidRPr="009C4D10" w:rsidRDefault="00FE0EA5" w:rsidP="00CF2E7C">
            <w:pPr>
              <w:rPr>
                <w:rFonts w:cstheme="minorHAnsi"/>
              </w:rPr>
            </w:pPr>
            <w:r w:rsidRPr="009C4D10">
              <w:rPr>
                <w:rFonts w:cstheme="minorHAnsi"/>
                <w:lang w:val="en-SG"/>
              </w:rPr>
              <w:t> </w:t>
            </w:r>
            <w:r w:rsidRPr="009C4D10">
              <w:rPr>
                <w:rFonts w:cstheme="minorHAnsi"/>
              </w:rPr>
              <w:t> </w:t>
            </w:r>
            <w:r w:rsidR="00C85515">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B0C296" w14:textId="77777777" w:rsidR="00A53378" w:rsidRDefault="00A53378" w:rsidP="00874E39">
      <w:r>
        <w:separator/>
      </w:r>
    </w:p>
  </w:endnote>
  <w:endnote w:type="continuationSeparator" w:id="0">
    <w:p w14:paraId="6197B980" w14:textId="77777777" w:rsidR="00A53378" w:rsidRDefault="00A53378" w:rsidP="00874E39">
      <w:r>
        <w:continuationSeparator/>
      </w:r>
    </w:p>
  </w:endnote>
  <w:endnote w:type="continuationNotice" w:id="1">
    <w:p w14:paraId="63E0EA69" w14:textId="77777777" w:rsidR="00A53378" w:rsidRDefault="00A533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B18B5D" w14:textId="77777777" w:rsidR="00A53378" w:rsidRDefault="00A53378" w:rsidP="00874E39">
      <w:r>
        <w:separator/>
      </w:r>
    </w:p>
  </w:footnote>
  <w:footnote w:type="continuationSeparator" w:id="0">
    <w:p w14:paraId="6E2E1A22" w14:textId="77777777" w:rsidR="00A53378" w:rsidRDefault="00A53378" w:rsidP="00874E39">
      <w:r>
        <w:continuationSeparator/>
      </w:r>
    </w:p>
  </w:footnote>
  <w:footnote w:type="continuationNotice" w:id="1">
    <w:p w14:paraId="0D5C4CCB" w14:textId="77777777" w:rsidR="00A53378" w:rsidRDefault="00A5337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154"/>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2EF7"/>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48F7"/>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BEC"/>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4D0"/>
    <w:rsid w:val="001E366D"/>
    <w:rsid w:val="001E4215"/>
    <w:rsid w:val="001E5EFB"/>
    <w:rsid w:val="001E63F2"/>
    <w:rsid w:val="001E7064"/>
    <w:rsid w:val="001E74CA"/>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4E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0F2"/>
    <w:rsid w:val="002C14C2"/>
    <w:rsid w:val="002C169C"/>
    <w:rsid w:val="002C2336"/>
    <w:rsid w:val="002C474B"/>
    <w:rsid w:val="002C5E2F"/>
    <w:rsid w:val="002C6925"/>
    <w:rsid w:val="002C75E1"/>
    <w:rsid w:val="002C77E1"/>
    <w:rsid w:val="002D22F6"/>
    <w:rsid w:val="002D2A95"/>
    <w:rsid w:val="002D3C0E"/>
    <w:rsid w:val="002D4BBB"/>
    <w:rsid w:val="002D5FEA"/>
    <w:rsid w:val="002D612E"/>
    <w:rsid w:val="002D64FD"/>
    <w:rsid w:val="002D6B9A"/>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1F81"/>
    <w:rsid w:val="00313275"/>
    <w:rsid w:val="00313CDB"/>
    <w:rsid w:val="00313E83"/>
    <w:rsid w:val="003175A1"/>
    <w:rsid w:val="003218C6"/>
    <w:rsid w:val="00322783"/>
    <w:rsid w:val="00322BCF"/>
    <w:rsid w:val="003243E3"/>
    <w:rsid w:val="00324698"/>
    <w:rsid w:val="00325558"/>
    <w:rsid w:val="00325771"/>
    <w:rsid w:val="00325E0E"/>
    <w:rsid w:val="00330FE1"/>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1C5"/>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FDE"/>
    <w:rsid w:val="0037E466"/>
    <w:rsid w:val="003811C3"/>
    <w:rsid w:val="003817C1"/>
    <w:rsid w:val="00381CDC"/>
    <w:rsid w:val="00381E8A"/>
    <w:rsid w:val="00381FD3"/>
    <w:rsid w:val="00385566"/>
    <w:rsid w:val="003862C1"/>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2FD0"/>
    <w:rsid w:val="004B3C40"/>
    <w:rsid w:val="004B4203"/>
    <w:rsid w:val="004B666D"/>
    <w:rsid w:val="004B739E"/>
    <w:rsid w:val="004B77AB"/>
    <w:rsid w:val="004C006D"/>
    <w:rsid w:val="004C1EDE"/>
    <w:rsid w:val="004C20B7"/>
    <w:rsid w:val="004C3866"/>
    <w:rsid w:val="004C3A52"/>
    <w:rsid w:val="004C6739"/>
    <w:rsid w:val="004C70AC"/>
    <w:rsid w:val="004C75F9"/>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714"/>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496E"/>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E5D"/>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458"/>
    <w:rsid w:val="00664677"/>
    <w:rsid w:val="00666CB6"/>
    <w:rsid w:val="00671EA4"/>
    <w:rsid w:val="006736BC"/>
    <w:rsid w:val="006746D5"/>
    <w:rsid w:val="0067532A"/>
    <w:rsid w:val="00675752"/>
    <w:rsid w:val="00676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3652"/>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96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32D"/>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24F"/>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51F"/>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71"/>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47E4"/>
    <w:rsid w:val="0082488A"/>
    <w:rsid w:val="0082674B"/>
    <w:rsid w:val="008273C0"/>
    <w:rsid w:val="008279D8"/>
    <w:rsid w:val="00831667"/>
    <w:rsid w:val="008318AE"/>
    <w:rsid w:val="00831C3E"/>
    <w:rsid w:val="008331E9"/>
    <w:rsid w:val="0083333F"/>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758"/>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D3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6DF"/>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EB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A2A"/>
    <w:rsid w:val="00A07FB5"/>
    <w:rsid w:val="00A11A3F"/>
    <w:rsid w:val="00A123CE"/>
    <w:rsid w:val="00A125DF"/>
    <w:rsid w:val="00A1384B"/>
    <w:rsid w:val="00A14A3D"/>
    <w:rsid w:val="00A14AF3"/>
    <w:rsid w:val="00A14B52"/>
    <w:rsid w:val="00A15309"/>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E70"/>
    <w:rsid w:val="00A33284"/>
    <w:rsid w:val="00A34E4A"/>
    <w:rsid w:val="00A36AA7"/>
    <w:rsid w:val="00A40404"/>
    <w:rsid w:val="00A40EB1"/>
    <w:rsid w:val="00A42235"/>
    <w:rsid w:val="00A42858"/>
    <w:rsid w:val="00A43199"/>
    <w:rsid w:val="00A43A19"/>
    <w:rsid w:val="00A43AFC"/>
    <w:rsid w:val="00A445CD"/>
    <w:rsid w:val="00A45776"/>
    <w:rsid w:val="00A46507"/>
    <w:rsid w:val="00A46BEA"/>
    <w:rsid w:val="00A47C6E"/>
    <w:rsid w:val="00A501D9"/>
    <w:rsid w:val="00A503F1"/>
    <w:rsid w:val="00A53328"/>
    <w:rsid w:val="00A53378"/>
    <w:rsid w:val="00A5358D"/>
    <w:rsid w:val="00A53874"/>
    <w:rsid w:val="00A54756"/>
    <w:rsid w:val="00A55B96"/>
    <w:rsid w:val="00A56BE5"/>
    <w:rsid w:val="00A56DE0"/>
    <w:rsid w:val="00A57BFA"/>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B13"/>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6432"/>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36F"/>
    <w:rsid w:val="00B914F7"/>
    <w:rsid w:val="00B91B0A"/>
    <w:rsid w:val="00B93871"/>
    <w:rsid w:val="00B93EA9"/>
    <w:rsid w:val="00B944C1"/>
    <w:rsid w:val="00B9495C"/>
    <w:rsid w:val="00B94A0E"/>
    <w:rsid w:val="00B95827"/>
    <w:rsid w:val="00B95988"/>
    <w:rsid w:val="00BA01DD"/>
    <w:rsid w:val="00BA08E0"/>
    <w:rsid w:val="00BA118E"/>
    <w:rsid w:val="00BA135A"/>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97F"/>
    <w:rsid w:val="00BB667C"/>
    <w:rsid w:val="00BB6E2C"/>
    <w:rsid w:val="00BB7964"/>
    <w:rsid w:val="00BC0309"/>
    <w:rsid w:val="00BC1037"/>
    <w:rsid w:val="00BC2F0B"/>
    <w:rsid w:val="00BC3206"/>
    <w:rsid w:val="00BC4832"/>
    <w:rsid w:val="00BC5451"/>
    <w:rsid w:val="00BC5744"/>
    <w:rsid w:val="00BC5B8A"/>
    <w:rsid w:val="00BD1613"/>
    <w:rsid w:val="00BD3AB4"/>
    <w:rsid w:val="00BD3BFE"/>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A26"/>
    <w:rsid w:val="00C13FBE"/>
    <w:rsid w:val="00C141CA"/>
    <w:rsid w:val="00C149A3"/>
    <w:rsid w:val="00C16C64"/>
    <w:rsid w:val="00C173CD"/>
    <w:rsid w:val="00C20109"/>
    <w:rsid w:val="00C20FC8"/>
    <w:rsid w:val="00C227D5"/>
    <w:rsid w:val="00C228DF"/>
    <w:rsid w:val="00C2454C"/>
    <w:rsid w:val="00C25F98"/>
    <w:rsid w:val="00C26867"/>
    <w:rsid w:val="00C27879"/>
    <w:rsid w:val="00C3013E"/>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3D4"/>
    <w:rsid w:val="00C75536"/>
    <w:rsid w:val="00C7563D"/>
    <w:rsid w:val="00C758F8"/>
    <w:rsid w:val="00C76B74"/>
    <w:rsid w:val="00C77B1E"/>
    <w:rsid w:val="00C81DE5"/>
    <w:rsid w:val="00C82860"/>
    <w:rsid w:val="00C837C9"/>
    <w:rsid w:val="00C8396C"/>
    <w:rsid w:val="00C84F1D"/>
    <w:rsid w:val="00C85515"/>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41A"/>
    <w:rsid w:val="00CB1649"/>
    <w:rsid w:val="00CB179D"/>
    <w:rsid w:val="00CB3E5E"/>
    <w:rsid w:val="00CB4EBD"/>
    <w:rsid w:val="00CB6338"/>
    <w:rsid w:val="00CB76AA"/>
    <w:rsid w:val="00CB790E"/>
    <w:rsid w:val="00CC1407"/>
    <w:rsid w:val="00CC450D"/>
    <w:rsid w:val="00CC4FFC"/>
    <w:rsid w:val="00CC5328"/>
    <w:rsid w:val="00CC5BD4"/>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99E"/>
    <w:rsid w:val="00D004AD"/>
    <w:rsid w:val="00D01B92"/>
    <w:rsid w:val="00D02935"/>
    <w:rsid w:val="00D02C80"/>
    <w:rsid w:val="00D02FA1"/>
    <w:rsid w:val="00D056E9"/>
    <w:rsid w:val="00D07A89"/>
    <w:rsid w:val="00D1074B"/>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2729"/>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6E17"/>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E7D03"/>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24C"/>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2FDE"/>
    <w:rsid w:val="00E631C3"/>
    <w:rsid w:val="00E631DE"/>
    <w:rsid w:val="00E636E4"/>
    <w:rsid w:val="00E63AC5"/>
    <w:rsid w:val="00E64AEA"/>
    <w:rsid w:val="00E65D70"/>
    <w:rsid w:val="00E6706E"/>
    <w:rsid w:val="00E67095"/>
    <w:rsid w:val="00E67984"/>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6FB"/>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7BE"/>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781"/>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6C"/>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2816940">
      <w:bodyDiv w:val="1"/>
      <w:marLeft w:val="0"/>
      <w:marRight w:val="0"/>
      <w:marTop w:val="0"/>
      <w:marBottom w:val="0"/>
      <w:divBdr>
        <w:top w:val="none" w:sz="0" w:space="0" w:color="auto"/>
        <w:left w:val="none" w:sz="0" w:space="0" w:color="auto"/>
        <w:bottom w:val="none" w:sz="0" w:space="0" w:color="auto"/>
        <w:right w:val="none" w:sz="0" w:space="0" w:color="auto"/>
      </w:divBdr>
    </w:div>
    <w:div w:id="221335515">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271783256">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471799310">
      <w:bodyDiv w:val="1"/>
      <w:marLeft w:val="0"/>
      <w:marRight w:val="0"/>
      <w:marTop w:val="0"/>
      <w:marBottom w:val="0"/>
      <w:divBdr>
        <w:top w:val="none" w:sz="0" w:space="0" w:color="auto"/>
        <w:left w:val="none" w:sz="0" w:space="0" w:color="auto"/>
        <w:bottom w:val="none" w:sz="0" w:space="0" w:color="auto"/>
        <w:right w:val="none" w:sz="0" w:space="0" w:color="auto"/>
      </w:divBdr>
    </w:div>
    <w:div w:id="525678304">
      <w:bodyDiv w:val="1"/>
      <w:marLeft w:val="0"/>
      <w:marRight w:val="0"/>
      <w:marTop w:val="0"/>
      <w:marBottom w:val="0"/>
      <w:divBdr>
        <w:top w:val="none" w:sz="0" w:space="0" w:color="auto"/>
        <w:left w:val="none" w:sz="0" w:space="0" w:color="auto"/>
        <w:bottom w:val="none" w:sz="0" w:space="0" w:color="auto"/>
        <w:right w:val="none" w:sz="0" w:space="0" w:color="auto"/>
      </w:divBdr>
    </w:div>
    <w:div w:id="53990594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4380016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793328">
      <w:bodyDiv w:val="1"/>
      <w:marLeft w:val="0"/>
      <w:marRight w:val="0"/>
      <w:marTop w:val="0"/>
      <w:marBottom w:val="0"/>
      <w:divBdr>
        <w:top w:val="none" w:sz="0" w:space="0" w:color="auto"/>
        <w:left w:val="none" w:sz="0" w:space="0" w:color="auto"/>
        <w:bottom w:val="none" w:sz="0" w:space="0" w:color="auto"/>
        <w:right w:val="none" w:sz="0" w:space="0" w:color="auto"/>
      </w:divBdr>
    </w:div>
    <w:div w:id="914584074">
      <w:bodyDiv w:val="1"/>
      <w:marLeft w:val="0"/>
      <w:marRight w:val="0"/>
      <w:marTop w:val="0"/>
      <w:marBottom w:val="0"/>
      <w:divBdr>
        <w:top w:val="none" w:sz="0" w:space="0" w:color="auto"/>
        <w:left w:val="none" w:sz="0" w:space="0" w:color="auto"/>
        <w:bottom w:val="none" w:sz="0" w:space="0" w:color="auto"/>
        <w:right w:val="none" w:sz="0" w:space="0" w:color="auto"/>
      </w:divBdr>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653255">
      <w:bodyDiv w:val="1"/>
      <w:marLeft w:val="0"/>
      <w:marRight w:val="0"/>
      <w:marTop w:val="0"/>
      <w:marBottom w:val="0"/>
      <w:divBdr>
        <w:top w:val="none" w:sz="0" w:space="0" w:color="auto"/>
        <w:left w:val="none" w:sz="0" w:space="0" w:color="auto"/>
        <w:bottom w:val="none" w:sz="0" w:space="0" w:color="auto"/>
        <w:right w:val="none" w:sz="0" w:space="0" w:color="auto"/>
      </w:divBdr>
    </w:div>
    <w:div w:id="1329207177">
      <w:bodyDiv w:val="1"/>
      <w:marLeft w:val="0"/>
      <w:marRight w:val="0"/>
      <w:marTop w:val="0"/>
      <w:marBottom w:val="0"/>
      <w:divBdr>
        <w:top w:val="none" w:sz="0" w:space="0" w:color="auto"/>
        <w:left w:val="none" w:sz="0" w:space="0" w:color="auto"/>
        <w:bottom w:val="none" w:sz="0" w:space="0" w:color="auto"/>
        <w:right w:val="none" w:sz="0" w:space="0" w:color="auto"/>
      </w:divBdr>
    </w:div>
    <w:div w:id="1395197477">
      <w:bodyDiv w:val="1"/>
      <w:marLeft w:val="0"/>
      <w:marRight w:val="0"/>
      <w:marTop w:val="0"/>
      <w:marBottom w:val="0"/>
      <w:divBdr>
        <w:top w:val="none" w:sz="0" w:space="0" w:color="auto"/>
        <w:left w:val="none" w:sz="0" w:space="0" w:color="auto"/>
        <w:bottom w:val="none" w:sz="0" w:space="0" w:color="auto"/>
        <w:right w:val="none" w:sz="0" w:space="0" w:color="auto"/>
      </w:divBdr>
    </w:div>
    <w:div w:id="1412972128">
      <w:bodyDiv w:val="1"/>
      <w:marLeft w:val="0"/>
      <w:marRight w:val="0"/>
      <w:marTop w:val="0"/>
      <w:marBottom w:val="0"/>
      <w:divBdr>
        <w:top w:val="none" w:sz="0" w:space="0" w:color="auto"/>
        <w:left w:val="none" w:sz="0" w:space="0" w:color="auto"/>
        <w:bottom w:val="none" w:sz="0" w:space="0" w:color="auto"/>
        <w:right w:val="none" w:sz="0" w:space="0" w:color="auto"/>
      </w:divBdr>
    </w:div>
    <w:div w:id="1444031836">
      <w:bodyDiv w:val="1"/>
      <w:marLeft w:val="0"/>
      <w:marRight w:val="0"/>
      <w:marTop w:val="0"/>
      <w:marBottom w:val="0"/>
      <w:divBdr>
        <w:top w:val="none" w:sz="0" w:space="0" w:color="auto"/>
        <w:left w:val="none" w:sz="0" w:space="0" w:color="auto"/>
        <w:bottom w:val="none" w:sz="0" w:space="0" w:color="auto"/>
        <w:right w:val="none" w:sz="0" w:space="0" w:color="auto"/>
      </w:divBdr>
    </w:div>
    <w:div w:id="1625577686">
      <w:bodyDiv w:val="1"/>
      <w:marLeft w:val="0"/>
      <w:marRight w:val="0"/>
      <w:marTop w:val="0"/>
      <w:marBottom w:val="0"/>
      <w:divBdr>
        <w:top w:val="none" w:sz="0" w:space="0" w:color="auto"/>
        <w:left w:val="none" w:sz="0" w:space="0" w:color="auto"/>
        <w:bottom w:val="none" w:sz="0" w:space="0" w:color="auto"/>
        <w:right w:val="none" w:sz="0" w:space="0" w:color="auto"/>
      </w:divBdr>
    </w:div>
    <w:div w:id="1728842115">
      <w:bodyDiv w:val="1"/>
      <w:marLeft w:val="0"/>
      <w:marRight w:val="0"/>
      <w:marTop w:val="0"/>
      <w:marBottom w:val="0"/>
      <w:divBdr>
        <w:top w:val="none" w:sz="0" w:space="0" w:color="auto"/>
        <w:left w:val="none" w:sz="0" w:space="0" w:color="auto"/>
        <w:bottom w:val="none" w:sz="0" w:space="0" w:color="auto"/>
        <w:right w:val="none" w:sz="0" w:space="0" w:color="auto"/>
      </w:divBdr>
    </w:div>
    <w:div w:id="1797870648">
      <w:bodyDiv w:val="1"/>
      <w:marLeft w:val="0"/>
      <w:marRight w:val="0"/>
      <w:marTop w:val="0"/>
      <w:marBottom w:val="0"/>
      <w:divBdr>
        <w:top w:val="none" w:sz="0" w:space="0" w:color="auto"/>
        <w:left w:val="none" w:sz="0" w:space="0" w:color="auto"/>
        <w:bottom w:val="none" w:sz="0" w:space="0" w:color="auto"/>
        <w:right w:val="none" w:sz="0" w:space="0" w:color="auto"/>
      </w:divBdr>
    </w:div>
    <w:div w:id="181089712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969361466">
      <w:bodyDiv w:val="1"/>
      <w:marLeft w:val="0"/>
      <w:marRight w:val="0"/>
      <w:marTop w:val="0"/>
      <w:marBottom w:val="0"/>
      <w:divBdr>
        <w:top w:val="none" w:sz="0" w:space="0" w:color="auto"/>
        <w:left w:val="none" w:sz="0" w:space="0" w:color="auto"/>
        <w:bottom w:val="none" w:sz="0" w:space="0" w:color="auto"/>
        <w:right w:val="none" w:sz="0" w:space="0" w:color="auto"/>
      </w:divBdr>
    </w:div>
    <w:div w:id="1983654483">
      <w:bodyDiv w:val="1"/>
      <w:marLeft w:val="0"/>
      <w:marRight w:val="0"/>
      <w:marTop w:val="0"/>
      <w:marBottom w:val="0"/>
      <w:divBdr>
        <w:top w:val="none" w:sz="0" w:space="0" w:color="auto"/>
        <w:left w:val="none" w:sz="0" w:space="0" w:color="auto"/>
        <w:bottom w:val="none" w:sz="0" w:space="0" w:color="auto"/>
        <w:right w:val="none" w:sz="0" w:space="0" w:color="auto"/>
      </w:divBdr>
    </w:div>
    <w:div w:id="199513529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5926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41258/https:/www.taxonomiaverde.gov.co/documents/316219/336660/Taxonom%C3%ADa+Verde+de+Colombia.pdf/f25c7843-9a15-17da-90f9-5d63763b85b6?t=1649352720000"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70311/https:/www.superfinanciera.gov.co/loader.php?lServicio=Tools2&amp;lTipo=descargas&amp;lFuncion=descargar&amp;idFile=1066686"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46D8789A-25BF-4128-9CF6-7DE73DAFCAE9}"/>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67</Pages>
  <Words>24780</Words>
  <Characters>136293</Characters>
  <Application>Microsoft Office Word</Application>
  <DocSecurity>0</DocSecurity>
  <Lines>1135</Lines>
  <Paragraphs>321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57</cp:revision>
  <cp:lastPrinted>2025-03-21T00:14:00Z</cp:lastPrinted>
  <dcterms:created xsi:type="dcterms:W3CDTF">2025-06-25T15:15:00Z</dcterms:created>
  <dcterms:modified xsi:type="dcterms:W3CDTF">2025-07-09T22:40:00Z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